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r>
        <w:rPr>
          <w:rFonts w:hint="eastAsia" w:ascii="方正小标宋_GBK" w:hAnsi="方正小标宋_GBK" w:eastAsia="方正小标宋_GBK"/>
          <w:sz w:val="44"/>
          <w:szCs w:val="44"/>
          <w:highlight w:val="none"/>
        </w:rPr>
        <w:t>新疆塔城地区沙湾市三道河子林场</w:t>
      </w:r>
    </w:p>
    <w:p>
      <w:pPr>
        <w:keepNext w:val="0"/>
        <w:keepLines w:val="0"/>
        <w:pageBreakBefore w:val="0"/>
        <w:widowControl w:val="0"/>
        <w:kinsoku/>
        <w:wordWrap/>
        <w:overflowPunct/>
        <w:topLinePunct w:val="0"/>
        <w:adjustRightInd/>
        <w:snapToGrid/>
        <w:spacing w:line="240" w:lineRule="auto"/>
        <w:jc w:val="center"/>
        <w:textAlignment w:val="auto"/>
        <w:rPr>
          <w:rFonts w:hint="eastAsia" w:ascii="方正小标宋_GBK" w:hAnsi="方正小标宋_GBK" w:eastAsia="方正小标宋_GBK"/>
          <w:sz w:val="44"/>
          <w:szCs w:val="44"/>
          <w:highlight w:val="none"/>
        </w:rPr>
      </w:pPr>
      <w:r>
        <w:rPr>
          <w:rFonts w:hint="eastAsia" w:ascii="方正小标宋_GBK" w:hAnsi="方正小标宋_GBK" w:eastAsia="方正小标宋_GBK"/>
          <w:sz w:val="44"/>
          <w:szCs w:val="44"/>
          <w:highlight w:val="none"/>
        </w:rPr>
        <w:t>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hint="eastAsia" w:ascii="仿宋_GB2312" w:hAnsi="仿宋_GB2312" w:eastAsia="仿宋_GB2312" w:cs="仿宋_GB2312"/>
          <w:b w:val="0"/>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sz w:val="32"/>
          <w:szCs w:val="32"/>
          <w:highlight w:val="none"/>
        </w:rPr>
        <w:fldChar w:fldCharType="begin"/>
      </w:r>
      <w:r>
        <w:rPr>
          <w:rFonts w:hint="eastAsia" w:ascii="仿宋_GB2312" w:hAnsi="仿宋_GB2312" w:eastAsia="仿宋_GB2312" w:cs="仿宋_GB2312"/>
          <w:b/>
          <w:sz w:val="32"/>
          <w:szCs w:val="32"/>
          <w:highlight w:val="none"/>
        </w:rPr>
        <w:instrText xml:space="preserve"> HYPERLINK \l _Toc32314</w:instrText>
      </w:r>
      <w:r>
        <w:rPr>
          <w:rFonts w:hint="eastAsia" w:ascii="仿宋_GB2312" w:hAnsi="仿宋_GB2312" w:eastAsia="仿宋_GB2312" w:cs="仿宋_GB2312"/>
          <w:b/>
          <w:sz w:val="32"/>
          <w:szCs w:val="32"/>
          <w:highlight w:val="none"/>
        </w:rPr>
        <w:fldChar w:fldCharType="separate"/>
      </w:r>
      <w:r>
        <w:rPr>
          <w:rFonts w:hint="eastAsia" w:ascii="仿宋_GB2312" w:hAnsi="仿宋_GB2312" w:eastAsia="仿宋_GB2312" w:cs="仿宋_GB2312"/>
          <w:b/>
          <w:sz w:val="32"/>
          <w:szCs w:val="32"/>
          <w:highlight w:val="none"/>
        </w:rPr>
        <w:t>第一部分 单位概况</w:t>
      </w:r>
      <w:r>
        <w:rPr>
          <w:rFonts w:hint="eastAsia" w:ascii="仿宋_GB2312" w:hAnsi="仿宋_GB2312" w:eastAsia="仿宋_GB2312" w:cs="仿宋_GB2312"/>
          <w:b/>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二、机构设置</w:t>
      </w:r>
      <w:r>
        <w:rPr>
          <w:rFonts w:hint="eastAsia" w:ascii="仿宋_GB2312" w:hAnsi="仿宋_GB2312" w:eastAsia="仿宋_GB2312" w:cs="仿宋_GB2312"/>
          <w:kern w:val="0"/>
          <w:sz w:val="32"/>
          <w:szCs w:val="32"/>
          <w:highlight w:val="none"/>
          <w:lang w:eastAsia="zh-CN"/>
        </w:rPr>
        <w:t>及人员</w:t>
      </w:r>
      <w:r>
        <w:rPr>
          <w:rFonts w:hint="eastAsia" w:ascii="仿宋_GB2312" w:hAnsi="仿宋_GB2312" w:eastAsia="仿宋_GB2312" w:cs="仿宋_GB2312"/>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none"/>
        </w:rPr>
        <w:fldChar w:fldCharType="begin"/>
      </w:r>
      <w:r>
        <w:rPr>
          <w:rFonts w:hint="eastAsia" w:ascii="仿宋_GB2312" w:hAnsi="仿宋_GB2312" w:eastAsia="仿宋_GB2312" w:cs="仿宋_GB2312"/>
          <w:b/>
          <w:sz w:val="32"/>
          <w:szCs w:val="32"/>
          <w:highlight w:val="none"/>
        </w:rPr>
        <w:instrText xml:space="preserve"> HYPERLINK \l _Toc29374</w:instrText>
      </w:r>
      <w:r>
        <w:rPr>
          <w:rFonts w:hint="eastAsia" w:ascii="仿宋_GB2312" w:hAnsi="仿宋_GB2312" w:eastAsia="仿宋_GB2312" w:cs="仿宋_GB2312"/>
          <w:b/>
          <w:sz w:val="32"/>
          <w:szCs w:val="32"/>
          <w:highlight w:val="none"/>
        </w:rPr>
        <w:fldChar w:fldCharType="separate"/>
      </w:r>
      <w:r>
        <w:rPr>
          <w:rFonts w:hint="eastAsia" w:ascii="仿宋_GB2312" w:hAnsi="仿宋_GB2312" w:eastAsia="仿宋_GB2312" w:cs="仿宋_GB2312"/>
          <w:b/>
          <w:sz w:val="32"/>
          <w:szCs w:val="32"/>
          <w:highlight w:val="none"/>
        </w:rPr>
        <w:t>第二部分 部门决算情况说明</w:t>
      </w:r>
      <w:r>
        <w:rPr>
          <w:rFonts w:hint="eastAsia" w:ascii="仿宋_GB2312" w:hAnsi="仿宋_GB2312" w:eastAsia="仿宋_GB2312" w:cs="仿宋_GB2312"/>
          <w:b/>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二、</w:t>
      </w:r>
      <w:r>
        <w:rPr>
          <w:rFonts w:hint="eastAsia" w:ascii="仿宋_GB2312" w:hAnsi="仿宋_GB2312" w:eastAsia="仿宋_GB2312" w:cs="仿宋_GB2312"/>
          <w:kern w:val="0"/>
          <w:sz w:val="32"/>
          <w:szCs w:val="32"/>
          <w:highlight w:val="none"/>
        </w:rPr>
        <w:t>收入</w:t>
      </w:r>
      <w:r>
        <w:rPr>
          <w:rFonts w:hint="eastAsia" w:ascii="仿宋_GB2312" w:hAnsi="仿宋_GB2312" w:eastAsia="仿宋_GB2312" w:cs="仿宋_GB2312"/>
          <w:kern w:val="0"/>
          <w:sz w:val="32"/>
          <w:szCs w:val="32"/>
          <w:highlight w:val="none"/>
          <w:lang w:eastAsia="zh-CN"/>
        </w:rPr>
        <w:t>决算</w:t>
      </w:r>
      <w:r>
        <w:rPr>
          <w:rFonts w:hint="eastAsia" w:ascii="仿宋_GB2312" w:hAnsi="仿宋_GB2312" w:eastAsia="仿宋_GB2312" w:cs="仿宋_GB2312"/>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七</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财政拨款</w:t>
      </w:r>
      <w:r>
        <w:rPr>
          <w:rFonts w:hint="eastAsia" w:ascii="仿宋_GB2312" w:hAnsi="仿宋_GB2312" w:eastAsia="仿宋_GB2312" w:cs="仿宋_GB2312"/>
          <w:kern w:val="0"/>
          <w:sz w:val="32"/>
          <w:szCs w:val="32"/>
          <w:highlight w:val="none"/>
        </w:rPr>
        <w:t>“三公”经费支出</w:t>
      </w:r>
      <w:r>
        <w:rPr>
          <w:rFonts w:hint="eastAsia" w:ascii="仿宋_GB2312" w:hAnsi="仿宋_GB2312" w:eastAsia="仿宋_GB2312" w:cs="仿宋_GB2312"/>
          <w:kern w:val="0"/>
          <w:sz w:val="32"/>
          <w:szCs w:val="32"/>
          <w:highlight w:val="none"/>
          <w:lang w:eastAsia="zh-CN"/>
        </w:rPr>
        <w:t>决算</w:t>
      </w:r>
      <w:r>
        <w:rPr>
          <w:rFonts w:hint="eastAsia" w:ascii="仿宋_GB2312" w:hAnsi="仿宋_GB2312" w:eastAsia="仿宋_GB2312" w:cs="仿宋_GB2312"/>
          <w:kern w:val="0"/>
          <w:sz w:val="32"/>
          <w:szCs w:val="32"/>
          <w:highlight w:val="none"/>
        </w:rPr>
        <w:t>情况</w:t>
      </w:r>
      <w:r>
        <w:rPr>
          <w:rFonts w:hint="eastAsia" w:ascii="仿宋_GB2312" w:hAnsi="仿宋_GB2312" w:eastAsia="仿宋_GB2312" w:cs="仿宋_GB2312"/>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十</w:t>
      </w:r>
      <w:r>
        <w:rPr>
          <w:rFonts w:hint="eastAsia" w:ascii="仿宋_GB2312" w:hAnsi="仿宋_GB2312" w:eastAsia="仿宋_GB2312" w:cs="仿宋_GB2312"/>
          <w:kern w:val="0"/>
          <w:sz w:val="32"/>
          <w:szCs w:val="32"/>
          <w:highlight w:val="none"/>
        </w:rPr>
        <w:t>、其他重要事项的情况</w:t>
      </w:r>
      <w:r>
        <w:rPr>
          <w:rFonts w:hint="eastAsia" w:ascii="仿宋_GB2312" w:hAnsi="仿宋_GB2312" w:eastAsia="仿宋_GB2312" w:cs="仿宋_GB2312"/>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none"/>
        </w:rPr>
        <w:fldChar w:fldCharType="begin"/>
      </w:r>
      <w:r>
        <w:rPr>
          <w:rFonts w:hint="eastAsia" w:ascii="仿宋_GB2312" w:hAnsi="仿宋_GB2312" w:eastAsia="仿宋_GB2312" w:cs="仿宋_GB2312"/>
          <w:b/>
          <w:sz w:val="32"/>
          <w:szCs w:val="32"/>
          <w:highlight w:val="none"/>
        </w:rPr>
        <w:instrText xml:space="preserve"> HYPERLINK \l _Toc3250</w:instrText>
      </w:r>
      <w:r>
        <w:rPr>
          <w:rFonts w:hint="eastAsia" w:ascii="仿宋_GB2312" w:hAnsi="仿宋_GB2312" w:eastAsia="仿宋_GB2312" w:cs="仿宋_GB2312"/>
          <w:b/>
          <w:sz w:val="32"/>
          <w:szCs w:val="32"/>
          <w:highlight w:val="none"/>
        </w:rPr>
        <w:fldChar w:fldCharType="separate"/>
      </w:r>
      <w:r>
        <w:rPr>
          <w:rFonts w:hint="eastAsia" w:ascii="仿宋_GB2312" w:hAnsi="仿宋_GB2312" w:eastAsia="仿宋_GB2312" w:cs="仿宋_GB2312"/>
          <w:b/>
          <w:sz w:val="32"/>
          <w:szCs w:val="32"/>
          <w:highlight w:val="none"/>
        </w:rPr>
        <w:t>第三部分 专业名词解释</w:t>
      </w:r>
      <w:r>
        <w:rPr>
          <w:rFonts w:hint="eastAsia" w:ascii="仿宋_GB2312" w:hAnsi="仿宋_GB2312" w:eastAsia="仿宋_GB2312" w:cs="仿宋_GB2312"/>
          <w:b/>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none"/>
        </w:rPr>
        <w:fldChar w:fldCharType="begin"/>
      </w:r>
      <w:r>
        <w:rPr>
          <w:rFonts w:hint="eastAsia" w:ascii="仿宋_GB2312" w:hAnsi="仿宋_GB2312" w:eastAsia="仿宋_GB2312" w:cs="仿宋_GB2312"/>
          <w:b/>
          <w:sz w:val="32"/>
          <w:szCs w:val="32"/>
          <w:highlight w:val="none"/>
        </w:rPr>
        <w:instrText xml:space="preserve"> HYPERLINK \l _Toc22784</w:instrText>
      </w:r>
      <w:r>
        <w:rPr>
          <w:rFonts w:hint="eastAsia" w:ascii="仿宋_GB2312" w:hAnsi="仿宋_GB2312" w:eastAsia="仿宋_GB2312" w:cs="仿宋_GB2312"/>
          <w:b/>
          <w:sz w:val="32"/>
          <w:szCs w:val="32"/>
          <w:highlight w:val="none"/>
        </w:rPr>
        <w:fldChar w:fldCharType="separate"/>
      </w:r>
      <w:r>
        <w:rPr>
          <w:rFonts w:hint="eastAsia" w:ascii="仿宋_GB2312" w:hAnsi="仿宋_GB2312" w:eastAsia="仿宋_GB2312" w:cs="仿宋_GB2312"/>
          <w:b/>
          <w:sz w:val="32"/>
          <w:szCs w:val="32"/>
          <w:highlight w:val="none"/>
        </w:rPr>
        <w:t>第四部分 部门决算报表（见附表）</w:t>
      </w:r>
      <w:r>
        <w:rPr>
          <w:rFonts w:hint="eastAsia" w:ascii="仿宋_GB2312" w:hAnsi="仿宋_GB2312" w:eastAsia="仿宋_GB2312" w:cs="仿宋_GB2312"/>
          <w:b/>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八、《政府性基金预算财政拨款收入支出决算表》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_Toc7643</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kern w:val="0"/>
          <w:sz w:val="32"/>
          <w:szCs w:val="32"/>
          <w:highlight w:val="none"/>
        </w:rPr>
        <w:t>九、《国有资本经营预算财政拨款收入支出决算表》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0" w:name="_Toc32314"/>
      <w:bookmarkStart w:id="1" w:name="_Toc24028"/>
      <w:r>
        <w:rPr>
          <w:rFonts w:hint="eastAsia" w:ascii="黑体" w:hAnsi="黑体" w:eastAsia="黑体"/>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default" w:ascii="黑体" w:hAnsi="黑体" w:eastAsia="黑体" w:cs="宋体"/>
          <w:kern w:val="0"/>
          <w:sz w:val="32"/>
          <w:szCs w:val="32"/>
          <w:highlight w:val="none"/>
        </w:rPr>
      </w:pPr>
      <w:bookmarkStart w:id="2" w:name="_Toc30738"/>
      <w:bookmarkStart w:id="3" w:name="_Toc30567"/>
      <w:r>
        <w:rPr>
          <w:rFonts w:hint="eastAsia" w:ascii="黑体" w:hAnsi="黑体" w:eastAsia="黑体" w:cs="宋体"/>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（一）认真执行国家《森林法》及相关法律法规。</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（二）认真完成上级部门下达的造林绿化任务，保护森林资源。</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（三）严格执行森林采伐制度，科学合理利用森林资源。结合实际开展林业科研、实验工作，组织开展林木良种繁育，建设林木良种基地和林业新技术推广示范基地。</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（四）充分森林资源，大力发展特色林果业和森林旅游业。</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 w:name="_Toc31238"/>
      <w:bookmarkStart w:id="5" w:name="_Toc2151"/>
      <w:r>
        <w:rPr>
          <w:rFonts w:hint="eastAsia" w:ascii="黑体" w:hAnsi="黑体" w:eastAsia="黑体" w:cs="宋体"/>
          <w:kern w:val="0"/>
          <w:sz w:val="32"/>
          <w:szCs w:val="32"/>
          <w:highlight w:val="none"/>
        </w:rPr>
        <w:t>二、机构设置</w:t>
      </w:r>
      <w:r>
        <w:rPr>
          <w:rFonts w:hint="eastAsia" w:ascii="黑体" w:hAnsi="黑体" w:eastAsia="黑体" w:cs="宋体"/>
          <w:kern w:val="0"/>
          <w:sz w:val="32"/>
          <w:szCs w:val="32"/>
          <w:highlight w:val="none"/>
          <w:lang w:eastAsia="zh-CN"/>
        </w:rPr>
        <w:t>及</w:t>
      </w:r>
      <w:bookmarkEnd w:id="4"/>
      <w:r>
        <w:rPr>
          <w:rFonts w:hint="eastAsia" w:ascii="黑体" w:hAnsi="黑体" w:eastAsia="黑体" w:cs="宋体"/>
          <w:kern w:val="0"/>
          <w:sz w:val="32"/>
          <w:szCs w:val="32"/>
          <w:highlight w:val="none"/>
          <w:lang w:eastAsia="zh-CN"/>
        </w:rPr>
        <w:t>人员</w:t>
      </w:r>
      <w:r>
        <w:rPr>
          <w:rFonts w:hint="eastAsia" w:ascii="黑体" w:hAnsi="黑体" w:eastAsia="黑体" w:cs="宋体"/>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新疆塔城地区沙湾市三道河子林场2022年度，实有人数39人，其中：在职人员13人，离休人员0人，退休人员26人。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从部门决算单位构成看，新疆塔城地区沙湾市三道河子林场部门决算包括：新疆塔城地区沙湾市三道河子林场决算。单位无下属预算单位，下设5个处室，分别是：行政办公室、财务室、苗圃办、园林队、综治办。</w:t>
      </w:r>
    </w:p>
    <w:p>
      <w:pPr>
        <w:keepNext w:val="0"/>
        <w:keepLines w:val="0"/>
        <w:pageBreakBefore w:val="0"/>
        <w:widowControl w:val="0"/>
        <w:kinsoku/>
        <w:wordWrap/>
        <w:overflowPunct/>
        <w:topLinePunct w:val="0"/>
        <w:autoSpaceDE/>
        <w:autoSpaceDN/>
        <w:adjustRightInd/>
        <w:snapToGrid/>
        <w:spacing w:line="240" w:lineRule="auto"/>
        <w:ind w:firstLine="562" w:firstLineChars="200"/>
        <w:jc w:val="center"/>
        <w:textAlignment w:val="auto"/>
        <w:outlineLvl w:val="0"/>
        <w:rPr>
          <w:rFonts w:hint="eastAsia" w:ascii="黑体" w:hAnsi="黑体" w:eastAsia="黑体"/>
          <w:sz w:val="32"/>
          <w:szCs w:val="32"/>
          <w:highlight w:val="none"/>
        </w:rPr>
      </w:pPr>
      <w:bookmarkStart w:id="6" w:name="_Toc29374"/>
      <w:bookmarkStart w:id="7" w:name="_Toc3092"/>
      <w:r>
        <w:rPr>
          <w:rFonts w:hint="default" w:ascii="黑体"/>
          <w:b/>
          <w:kern w:val="44"/>
          <w:sz w:val="28"/>
        </w:rPr>
        <w:br w:type="page"/>
      </w:r>
      <w:r>
        <w:rPr>
          <w:rFonts w:hint="default" w:ascii="黑体"/>
          <w:b/>
          <w:spacing w:val="40"/>
          <w:sz w:val="28"/>
        </w:rPr>
        <w:t xml:space="preserve"> </w:t>
      </w:r>
      <w:r>
        <w:rPr>
          <w:rFonts w:hint="eastAsia" w:ascii="黑体" w:hAnsi="黑体" w:eastAsia="黑体"/>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8" w:name="_Toc25314"/>
      <w:bookmarkStart w:id="9" w:name="_Toc12566"/>
      <w:r>
        <w:rPr>
          <w:rFonts w:hint="eastAsia" w:ascii="黑体" w:hAnsi="黑体" w:eastAsia="黑体" w:cs="宋体"/>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收入总计256.69万元</w:t>
      </w:r>
      <w:r>
        <w:rPr>
          <w:rFonts w:hint="eastAsia" w:ascii="仿宋_GB2312" w:eastAsia="仿宋_GB2312"/>
          <w:sz w:val="32"/>
          <w:szCs w:val="32"/>
          <w:highlight w:val="none"/>
          <w:lang w:eastAsia="zh-CN"/>
        </w:rPr>
        <w:t>，其中：本年收入合计256.69万元，使用非财政拨款结余0.00万元，年初结转和结余0.00万元。</w:t>
      </w:r>
      <w:r>
        <w:rPr>
          <w:rFonts w:hint="eastAsia" w:ascii="仿宋_GB2312" w:eastAsia="仿宋_GB2312"/>
          <w:sz w:val="32"/>
          <w:szCs w:val="32"/>
          <w:highlight w:val="none"/>
        </w:rPr>
        <w:t>收入总计与上年相比</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减少74.44万元，下降22.48%</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：本年度较上年度退休死亡人员减少4名，减少退休人员相关资金的拨付使用，同时，在编人员减少一人，相关人员经费减少。</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rPr>
        <w:t>本年支出总计256.69万元</w:t>
      </w:r>
      <w:r>
        <w:rPr>
          <w:rFonts w:hint="eastAsia" w:ascii="仿宋_GB2312" w:eastAsia="仿宋_GB2312"/>
          <w:sz w:val="32"/>
          <w:szCs w:val="32"/>
          <w:highlight w:val="none"/>
          <w:lang w:eastAsia="zh-CN"/>
        </w:rPr>
        <w:t>，其中：本年支出合计256.69万元，结余分配0.00万元，年末结转和结余0.00万元。</w:t>
      </w:r>
      <w:r>
        <w:rPr>
          <w:rFonts w:hint="eastAsia" w:ascii="仿宋_GB2312" w:eastAsia="仿宋_GB2312"/>
          <w:sz w:val="32"/>
          <w:szCs w:val="32"/>
          <w:highlight w:val="none"/>
        </w:rPr>
        <w:t>支出总计与上年相比</w:t>
      </w:r>
      <w:r>
        <w:rPr>
          <w:rFonts w:hint="eastAsia" w:ascii="仿宋_GB2312" w:eastAsia="仿宋_GB2312"/>
          <w:sz w:val="32"/>
          <w:szCs w:val="32"/>
          <w:highlight w:val="none"/>
          <w:lang w:eastAsia="zh-CN"/>
        </w:rPr>
        <w:t>，减少74.44万元，下降22.48%，主要原因是</w:t>
      </w:r>
      <w:r>
        <w:rPr>
          <w:rFonts w:hint="eastAsia" w:ascii="仿宋_GB2312" w:eastAsia="仿宋_GB2312"/>
          <w:sz w:val="32"/>
          <w:szCs w:val="32"/>
          <w:highlight w:val="none"/>
        </w:rPr>
        <w:t>：本年度较上年度退休死亡人员减少4名，减少退休人员相关资金的拨付使用，同时，在编人员减少一人，相关人员经费减少。</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10" w:name="_Toc12142"/>
      <w:bookmarkStart w:id="11" w:name="_Toc1979"/>
      <w:r>
        <w:rPr>
          <w:rFonts w:hint="eastAsia" w:ascii="黑体" w:hAnsi="黑体" w:eastAsia="黑体" w:cs="宋体"/>
          <w:kern w:val="0"/>
          <w:sz w:val="32"/>
          <w:szCs w:val="32"/>
          <w:highlight w:val="none"/>
          <w:lang w:eastAsia="zh-CN"/>
        </w:rPr>
        <w:t>二、</w:t>
      </w:r>
      <w:r>
        <w:rPr>
          <w:rFonts w:hint="eastAsia" w:ascii="黑体" w:hAnsi="黑体" w:eastAsia="黑体" w:cs="宋体"/>
          <w:kern w:val="0"/>
          <w:sz w:val="32"/>
          <w:szCs w:val="32"/>
          <w:highlight w:val="none"/>
        </w:rPr>
        <w:t>收入</w:t>
      </w:r>
      <w:r>
        <w:rPr>
          <w:rFonts w:hint="eastAsia" w:ascii="黑体" w:hAnsi="黑体" w:eastAsia="黑体" w:cs="宋体"/>
          <w:kern w:val="0"/>
          <w:sz w:val="32"/>
          <w:szCs w:val="32"/>
          <w:highlight w:val="none"/>
          <w:lang w:eastAsia="zh-CN"/>
        </w:rPr>
        <w:t>决算</w:t>
      </w:r>
      <w:r>
        <w:rPr>
          <w:rFonts w:hint="eastAsia" w:ascii="黑体" w:hAnsi="黑体" w:eastAsia="黑体" w:cs="宋体"/>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本年收入256.69万元，其中：财政拨款收入256.69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12" w:name="_Toc13201"/>
      <w:bookmarkStart w:id="13" w:name="_Toc27961"/>
      <w:r>
        <w:rPr>
          <w:rFonts w:hint="eastAsia" w:ascii="黑体" w:hAnsi="黑体" w:eastAsia="黑体" w:cs="宋体"/>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本年支出256.69万元，其中：基本支出231.69万元，占90.26%；项目支出25.00万元，占9.74%；上缴上级支出0.00万元，占0.00%；经营支出0.00万元，占0.00%；对附属单位补助支出0.00万元，占0.00%。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14" w:name="_Toc26564"/>
      <w:bookmarkStart w:id="15" w:name="_Toc4393"/>
      <w:r>
        <w:rPr>
          <w:rFonts w:hint="eastAsia" w:ascii="黑体" w:hAnsi="黑体" w:eastAsia="黑体" w:cs="宋体"/>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财政拨款收入总计256.69万元，其中：年初财政拨款结转和结余0.00万元，财政拨款本年收入256.69万元。财政拨款收入总计与上年相比，减少74.44万元，下降22.48%，</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本年度较上年度退休死亡人员减少4名，减少退休人员相关资金的拨付使用，同时，在编人员减少一人，相关人员经费减少。</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财政拨款支出总计256.69万元，其中：年末财政拨款结转和结余0.00万元，财政拨款本年支出256.69万元。财政拨款支出总计与上年相比，减少74.44万元，下降22.48%，</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本年度较上年度退休死亡人员减少4名，减少退休人员相关资金的拨付使用，同时，在编人员减少一人，相关人员经费减少。</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与年初预算数相比情况：财政拨款收入总计年初预算数93.53万元，决算数256.69万元，预决算差异率174.45%，</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本年度补发2021年度及本年度基础绩效、年终考核工资，同时基本工资及基础性绩效工资调标，年中追加人员经费。财政拨款支出总计年初预算数93.53万元，决算数256.69万元，预决算差异率174.45%，</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本年度补发2021年度及本年度基础绩效、年终考核工资，同时基本工资及基础性绩效工资调标，年中追加人员经费。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16" w:name="_Toc20360"/>
      <w:bookmarkStart w:id="17" w:name="_Toc13833"/>
      <w:r>
        <w:rPr>
          <w:rFonts w:hint="eastAsia" w:ascii="黑体" w:hAnsi="黑体" w:eastAsia="黑体" w:cs="宋体"/>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r>
        <w:rPr>
          <w:rFonts w:hint="eastAsia" w:ascii="黑体" w:hAnsi="黑体" w:eastAsia="黑体" w:cs="宋体"/>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一般公共预算财政拨款支出256.69万元，占本年支出合计的100.00%，与上年相比，减少74.44万元，下降22.48%，主要原因是：本年度较上年度退休死亡人员减少4名，减少退休人员相关资金的拨付使用，同时，在编人员减少一人，相关人员经费减少。</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r>
        <w:rPr>
          <w:rFonts w:hint="eastAsia" w:ascii="黑体" w:hAnsi="黑体" w:eastAsia="黑体" w:cs="宋体"/>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1.社会保障和就业支出（类）20.45万元，占7.97%。</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2.卫生健康支出（类）17.56万元，占6.84%。</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3.农林水支出（类）206.82万元，占80.57%。</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4.住房保障支出（类）6.86万元，占2.67%。</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5.其他支出（类）5.00万元，占1.95%。</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r>
        <w:rPr>
          <w:rFonts w:hint="eastAsia" w:ascii="黑体" w:hAnsi="黑体" w:eastAsia="黑体" w:cs="宋体"/>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1.社会保障和就业支出（类）行政事业单位养老支出（款）事业单位离退休（项）：支出决算数为9.26万元，比上年决算增加3.83万元，增长70.53%，主要原因是：第一，本年度退休新增人员1名，实际应于2021年9月退休，但因手续、社保等相关问题，导致该名同志实际发放退休相关资金为2022年，经费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2.社会保障和就业支出（类）行政事业单位养老支出（款）机关事业单位基本养老保险缴费支出（项）：支出决算数为7.46万元，比上年决算减少0.04万元，下降0.53%，主要原因是：2022年度较上年度相比，在编人员减少1人，导致养老保险支出下降。</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3.社会保障和就业支出（类）行政事业单位养老支出（款）机关事业单位职业年金缴费支出（项）：支出决算数为3.73万元，比上年决算减少0.02万元，下降0.53%，主要原因是：2022年度较上年度相比，在编人员减少1人，导致职业年金支出下降。</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4.卫生健康支出（类）行政事业单位医疗（款）事业单位医疗（项）：支出决算数为17.56万元，比上年决算减少0.2万元，下降1.13%，主要原因是：2022年度较上年度相比，在编人员减少1人，导致医疗保险支出下降。</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5.农林水支出（类）林业和草原（款）事业机构（项）：支出决算数为186.82万元，比上年决算增加122.99万元，增长192.68%，主要原因是：本年在职人员工资调薪，相关人员经费增加。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6.农林水支出（类）林业和草原（款）其他林业和草原支出（项）：支出决算数为20.00万元，比上年决算增加20.00万元，增长100%，主要原因是：本年度我单位因生产用渠道附近居民孩子落水溺亡，经法院调解，我场赔偿资金20万元，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7.住房保障支出（类）住房改革支出（款）住房公积金（项）：支出决算数为6.86万元，比上年决算增加1.89万元，增长38.03%，主要原因是：本年度，住房公积金基数上调，导致较上年有所增长。</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8.其他支出（类）其他支出（款）其他支出（项）：支出决算数为5.00万元，比上年决算增加0.00万元，增长0.00%，主要原因是：本年为民办实事经费与上年一致，无变化。</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9、农林水支出（类）农业农村（款）其他农业农村支出（项）：支出决算数为0.00万元，比上年决算减少222.91万元，下降100%，主要原因是：科目调整，本年不再使用此科目。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18" w:name="_Toc30870"/>
      <w:bookmarkStart w:id="19" w:name="_Toc11146"/>
      <w:r>
        <w:rPr>
          <w:rFonts w:hint="eastAsia" w:ascii="黑体" w:hAnsi="黑体" w:eastAsia="黑体" w:cs="宋体"/>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2022年度一般公共预算财政拨款基本支出231.69万元，其中：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人员经费231.69万元，包括：基本工资、津贴补贴、奖金、绩效工资、机关事业单位基本养老保险缴费、职业年金缴费、职工基本医疗保险缴费、其他社会保障缴费、住房公积金、退休费、抚恤金、生活补助、奖励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公用经费0.00万元。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20" w:name="_Toc21518"/>
      <w:bookmarkStart w:id="21" w:name="_Toc7190"/>
      <w:r>
        <w:rPr>
          <w:rFonts w:hint="eastAsia" w:ascii="黑体" w:hAnsi="黑体" w:eastAsia="黑体" w:cs="宋体"/>
          <w:kern w:val="0"/>
          <w:sz w:val="32"/>
          <w:szCs w:val="32"/>
          <w:highlight w:val="none"/>
          <w:lang w:eastAsia="zh-CN"/>
        </w:rPr>
        <w:t>七</w:t>
      </w:r>
      <w:r>
        <w:rPr>
          <w:rFonts w:hint="eastAsia" w:ascii="黑体" w:hAnsi="黑体" w:eastAsia="黑体" w:cs="宋体"/>
          <w:kern w:val="0"/>
          <w:sz w:val="32"/>
          <w:szCs w:val="32"/>
          <w:highlight w:val="none"/>
        </w:rPr>
        <w:t>、</w:t>
      </w:r>
      <w:r>
        <w:rPr>
          <w:rFonts w:hint="eastAsia" w:ascii="黑体" w:hAnsi="黑体" w:eastAsia="黑体" w:cs="宋体"/>
          <w:kern w:val="0"/>
          <w:sz w:val="32"/>
          <w:szCs w:val="32"/>
          <w:highlight w:val="none"/>
          <w:lang w:eastAsia="zh-CN"/>
        </w:rPr>
        <w:t>财政拨款</w:t>
      </w:r>
      <w:r>
        <w:rPr>
          <w:rFonts w:hint="eastAsia" w:ascii="黑体" w:hAnsi="黑体" w:eastAsia="黑体" w:cs="宋体"/>
          <w:kern w:val="0"/>
          <w:sz w:val="32"/>
          <w:szCs w:val="32"/>
          <w:highlight w:val="none"/>
        </w:rPr>
        <w:t>“三公”经费支出</w:t>
      </w:r>
      <w:r>
        <w:rPr>
          <w:rFonts w:hint="eastAsia" w:ascii="黑体" w:hAnsi="黑体" w:eastAsia="黑体" w:cs="宋体"/>
          <w:kern w:val="0"/>
          <w:sz w:val="32"/>
          <w:szCs w:val="32"/>
          <w:highlight w:val="none"/>
          <w:lang w:eastAsia="zh-CN"/>
        </w:rPr>
        <w:t>决算</w:t>
      </w:r>
      <w:r>
        <w:rPr>
          <w:rFonts w:hint="eastAsia" w:ascii="黑体" w:hAnsi="黑体" w:eastAsia="黑体" w:cs="宋体"/>
          <w:kern w:val="0"/>
          <w:sz w:val="32"/>
          <w:szCs w:val="32"/>
          <w:highlight w:val="none"/>
        </w:rPr>
        <w:t>情况</w:t>
      </w:r>
      <w:r>
        <w:rPr>
          <w:rFonts w:hint="eastAsia" w:ascii="黑体" w:hAnsi="黑体" w:eastAsia="黑体" w:cs="宋体"/>
          <w:kern w:val="0"/>
          <w:sz w:val="32"/>
          <w:szCs w:val="32"/>
          <w:highlight w:val="none"/>
          <w:lang w:eastAsia="zh-CN"/>
        </w:rPr>
        <w:t>说明</w:t>
      </w:r>
      <w:bookmarkEnd w:id="20"/>
      <w:bookmarkEnd w:id="21"/>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rPr>
        <w:t>2022</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财政拨款“三公”经费支出决算0.00万元，比上年减少2.36万元，下降100%，主要原因是：我单位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rPr>
        <w:t>财政拨款“三公”经费支出。其中：因公出国（境）费支出0.00万元，占0.00%，比上年增加0.00万元，增长0.00%，主要原因是：我单位无因公出国（境）费支出；公务用车购置及运行维护费支出0.00万元，占0.00%，比上年减少2.36万元，下降100%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rPr>
        <w:t>公务用车购置及运行维护费支出；公务接待费支出0.00万元，占0.00%，比上年增加0.00万元，增长0.00%，主要原因是：我单位无公务接待费支出。具体情况如下：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与全年预算数相比情况：“三公”经费支出全年预算数0.00万元，决算数0.00万元，预决算差异率0.00%，主要原因是：我单位未安排财政拨款“三公”经费支出，预决算无差异。</w:t>
      </w:r>
      <w:r>
        <w:rPr>
          <w:rFonts w:hint="eastAsia" w:ascii="仿宋_GB2312" w:eastAsia="仿宋_GB2312"/>
          <w:sz w:val="32"/>
          <w:szCs w:val="32"/>
          <w:highlight w:val="none"/>
          <w:lang w:eastAsia="zh-CN"/>
        </w:rPr>
        <w:t>其中：因公出国（境）费全年预算数0.00万元，决算数0.00万元，预决算差异率0.00%，主要原因是：我单位未安排因公出国（境）费，预决算无差异；</w:t>
      </w:r>
      <w:r>
        <w:rPr>
          <w:rFonts w:hint="eastAsia" w:ascii="仿宋_GB2312" w:eastAsia="仿宋_GB2312"/>
          <w:sz w:val="32"/>
          <w:szCs w:val="32"/>
          <w:highlight w:val="none"/>
        </w:rPr>
        <w:t>公务用车购置费全年预算数0.00万元，决算数0.00万元，预决算差异率0.00%，主要原因是：我单位未安排公务用车购置费，预决算无差异；</w:t>
      </w:r>
      <w:r>
        <w:rPr>
          <w:rFonts w:hint="eastAsia" w:ascii="仿宋_GB2312" w:hAnsi="宋体" w:eastAsia="仿宋_GB2312" w:cs="宋体"/>
          <w:kern w:val="0"/>
          <w:sz w:val="32"/>
          <w:szCs w:val="32"/>
          <w:highlight w:val="none"/>
        </w:rPr>
        <w:t>公务用车运行费全年预算数0.00万元，决算数0.00万元，预决算差异率0.00%，主要原因是：我单位未安排公务用车运行费，预决算无差异；</w:t>
      </w:r>
      <w:r>
        <w:rPr>
          <w:rFonts w:hint="eastAsia" w:ascii="仿宋_GB2312" w:eastAsia="仿宋_GB2312"/>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22" w:name="_Toc7927"/>
      <w:bookmarkStart w:id="23" w:name="_Toc5810"/>
      <w:r>
        <w:rPr>
          <w:rFonts w:hint="eastAsia" w:ascii="黑体" w:hAnsi="黑体" w:eastAsia="黑体" w:cs="宋体"/>
          <w:kern w:val="0"/>
          <w:sz w:val="32"/>
          <w:szCs w:val="32"/>
          <w:highlight w:val="none"/>
          <w:lang w:eastAsia="zh-CN"/>
        </w:rPr>
        <w:t>八、政府性基金预算财政拨款收入支出决算情况说明</w:t>
      </w:r>
      <w:bookmarkEnd w:id="22"/>
      <w:bookmarkEnd w:id="2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我单位本年度无政府性基金预算财政拨款收入、支出及结转和结余，</w:t>
      </w:r>
      <w:r>
        <w:rPr>
          <w:rFonts w:hint="eastAsia" w:ascii="仿宋_GB2312" w:eastAsia="仿宋_GB2312"/>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r>
        <w:rPr>
          <w:rFonts w:hint="eastAsia" w:ascii="黑体" w:hAnsi="黑体" w:eastAsia="黑体" w:cs="宋体"/>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我单位本年度无国有资本经营预算财政拨款收入、支出及结转和结余，</w:t>
      </w:r>
      <w:r>
        <w:rPr>
          <w:rFonts w:hint="eastAsia" w:ascii="仿宋_GB2312" w:eastAsia="仿宋_GB2312"/>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24" w:name="_Toc7314"/>
      <w:bookmarkStart w:id="25" w:name="_Toc1235"/>
      <w:r>
        <w:rPr>
          <w:rFonts w:hint="eastAsia" w:ascii="黑体" w:hAnsi="黑体" w:eastAsia="黑体" w:cs="宋体"/>
          <w:kern w:val="0"/>
          <w:sz w:val="32"/>
          <w:szCs w:val="32"/>
          <w:highlight w:val="none"/>
          <w:lang w:eastAsia="zh-CN"/>
        </w:rPr>
        <w:t>十</w:t>
      </w:r>
      <w:r>
        <w:rPr>
          <w:rFonts w:hint="eastAsia" w:ascii="黑体" w:hAnsi="黑体" w:eastAsia="黑体" w:cs="宋体"/>
          <w:kern w:val="0"/>
          <w:sz w:val="32"/>
          <w:szCs w:val="32"/>
          <w:highlight w:val="none"/>
        </w:rPr>
        <w:t>、其他重要事项的情况</w:t>
      </w:r>
      <w:r>
        <w:rPr>
          <w:rFonts w:hint="eastAsia" w:ascii="黑体" w:hAnsi="黑体" w:eastAsia="黑体" w:cs="宋体"/>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hint="eastAsia" w:ascii="黑体" w:hAnsi="黑体" w:eastAsia="黑体"/>
          <w:sz w:val="32"/>
          <w:szCs w:val="32"/>
          <w:highlight w:val="none"/>
        </w:rPr>
      </w:pPr>
      <w:bookmarkStart w:id="26" w:name="_Toc13105"/>
      <w:bookmarkStart w:id="27" w:name="_Toc14519"/>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6"/>
      <w:bookmarkEnd w:id="27"/>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2022年度新疆塔城地区沙湾市三道河子林场（事业单位）公用经费0.00万元，比上年减少2.39万元，下降100%，主要原因是：我单位</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rPr>
        <w:t>公用经费。</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28" w:name="_Toc227"/>
      <w:bookmarkStart w:id="29" w:name="_Toc26704"/>
      <w:r>
        <w:rPr>
          <w:rFonts w:hint="eastAsia" w:ascii="黑体" w:hAnsi="黑体" w:eastAsia="黑体"/>
          <w:sz w:val="32"/>
          <w:szCs w:val="32"/>
          <w:highlight w:val="none"/>
          <w:lang w:eastAsia="zh-CN"/>
        </w:rPr>
        <w:t>（二）政府采购情况</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pacing w:val="0"/>
          <w:sz w:val="32"/>
          <w:szCs w:val="32"/>
          <w:highlight w:val="none"/>
        </w:rPr>
        <w:t>2022年度政府采购支出总额12.39万元，其中：政府采购货物支出11.32万元、政府采购工程支出0.00万元、政府采购服务支出1.07万元。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授予中小企业合同金额</w:t>
      </w:r>
      <w:r>
        <w:rPr>
          <w:rFonts w:hint="eastAsia" w:ascii="仿宋_GB2312" w:eastAsia="仿宋_GB2312"/>
          <w:sz w:val="32"/>
          <w:szCs w:val="32"/>
          <w:highlight w:val="none"/>
          <w:lang w:eastAsia="zh-CN"/>
        </w:rPr>
        <w:t>12.39</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eastAsia="zh-CN"/>
        </w:rPr>
        <w:t>100.00</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，其中：授予小微企业合同金额</w:t>
      </w:r>
      <w:r>
        <w:rPr>
          <w:rFonts w:hint="eastAsia" w:ascii="仿宋_GB2312" w:eastAsia="仿宋_GB2312"/>
          <w:sz w:val="32"/>
          <w:szCs w:val="32"/>
          <w:highlight w:val="none"/>
          <w:lang w:eastAsia="zh-CN"/>
        </w:rPr>
        <w:t>12.39</w:t>
      </w:r>
      <w:r>
        <w:rPr>
          <w:rFonts w:hint="eastAsia" w:ascii="仿宋_GB2312" w:eastAsia="仿宋_GB2312"/>
          <w:sz w:val="32"/>
          <w:szCs w:val="32"/>
          <w:highlight w:val="none"/>
        </w:rPr>
        <w:t>万元，占政府采购支出总额的</w:t>
      </w:r>
      <w:r>
        <w:rPr>
          <w:rFonts w:hint="eastAsia" w:ascii="仿宋_GB2312" w:eastAsia="仿宋_GB2312"/>
          <w:sz w:val="32"/>
          <w:szCs w:val="32"/>
          <w:highlight w:val="none"/>
          <w:lang w:eastAsia="zh-CN"/>
        </w:rPr>
        <w:t>100.00</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hint="eastAsia" w:ascii="黑体" w:hAnsi="黑体" w:eastAsia="黑体"/>
          <w:sz w:val="32"/>
          <w:szCs w:val="32"/>
          <w:highlight w:val="none"/>
          <w:lang w:eastAsia="zh-CN"/>
        </w:rPr>
      </w:pPr>
      <w:bookmarkStart w:id="30" w:name="_Toc8391"/>
      <w:bookmarkStart w:id="31" w:name="_Toc4591"/>
      <w:r>
        <w:rPr>
          <w:rFonts w:hint="eastAsia" w:ascii="黑体" w:hAnsi="黑体" w:eastAsia="黑体"/>
          <w:sz w:val="32"/>
          <w:szCs w:val="32"/>
          <w:highlight w:val="none"/>
          <w:lang w:eastAsia="zh-CN"/>
        </w:rPr>
        <w:t>（三）国有资产占用情况说明</w:t>
      </w:r>
      <w:bookmarkEnd w:id="30"/>
      <w:bookmarkEnd w:id="31"/>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截止2022年12月31日，固定资产原值1,764.84万元，房屋7,365.90平方米，价值304.70万元。车辆7辆，价值102.31万元，其中：副部（省）级及以上领导用车0辆、主要领导干部用车0辆、机要通信用车0辆、应急保障用车0辆、执法执勤用车0辆、特种专业技术用车0辆、离退休干部用车0辆、其他用车7辆，其他用车主要是：</w:t>
      </w:r>
      <w:r>
        <w:rPr>
          <w:rFonts w:hint="eastAsia" w:ascii="仿宋_GB2312" w:eastAsia="仿宋_GB2312"/>
          <w:sz w:val="32"/>
          <w:szCs w:val="32"/>
          <w:highlight w:val="none"/>
          <w:lang w:val="en-US" w:eastAsia="zh-CN"/>
        </w:rPr>
        <w:t>单位业务</w:t>
      </w:r>
      <w:r>
        <w:rPr>
          <w:rFonts w:hint="eastAsia" w:ascii="仿宋_GB2312" w:eastAsia="仿宋_GB2312"/>
          <w:sz w:val="32"/>
          <w:szCs w:val="32"/>
          <w:highlight w:val="none"/>
          <w:lang w:eastAsia="zh-CN"/>
        </w:rPr>
        <w:t>生产用车；单价100万元（含）以上设备（不含车辆）0台（套）。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32" w:name="_Toc435"/>
      <w:bookmarkStart w:id="33" w:name="_Toc11283"/>
      <w:r>
        <w:rPr>
          <w:rFonts w:hint="eastAsia" w:ascii="黑体" w:hAnsi="黑体" w:eastAsia="黑体" w:cs="宋体"/>
          <w:kern w:val="0"/>
          <w:sz w:val="32"/>
          <w:szCs w:val="32"/>
          <w:highlight w:val="none"/>
          <w:lang w:eastAsia="zh-CN"/>
        </w:rPr>
        <w:t>十一、预算绩效的情况说明</w:t>
      </w:r>
      <w:bookmarkEnd w:id="32"/>
      <w:bookmarkEnd w:id="33"/>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根据预算绩效管理要求，我单位2022年度开展预算绩效评价项目2个，全年预算数25.00万元，全年执行数25万元。预算绩效管理取得的成效：一是项目的实施解决了绿化苗木滞销现状，提升了种苗发展，增加我场经济效益的同时，使我场经济回暖，走出困境，有利于我场持续发展，同时为全区生态环境做出贡献；二是项目实施，做好了我场苗圃苗木的管护，保证了良种苗木的生长发育态势，对苗木以后的生长提供坚实基础。发现的问题及原因：一是</w:t>
      </w:r>
      <w:bookmarkStart w:id="54" w:name="_GoBack"/>
      <w:bookmarkEnd w:id="54"/>
      <w:r>
        <w:rPr>
          <w:rFonts w:hint="eastAsia" w:ascii="仿宋_GB2312" w:eastAsia="仿宋_GB2312"/>
          <w:sz w:val="32"/>
          <w:szCs w:val="32"/>
          <w:highlight w:val="none"/>
          <w:lang w:eastAsia="zh-CN"/>
        </w:rPr>
        <w:t>资金使用效益需进一步提高，支付进度有待加强；二是项目实施时，对具体若干内容资金把控不到位，监督审核不严。下一步改进措施：一是加强明确分工，专人负责该项工作，同时，进一步加强绩效管理工作人员的培训和学习工作；二是要严格预算编制，做到细化精确，加强项目实施管理，要求将任务落实到具体项目，明确责任主体，建议项目实施单位经常到实地督查进度，并采取开展调研、中期评估等有效管理。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2" w:firstLineChars="200"/>
        <w:jc w:val="center"/>
        <w:textAlignment w:val="auto"/>
        <w:outlineLvl w:val="0"/>
        <w:rPr>
          <w:rFonts w:hint="eastAsia" w:ascii="黑体" w:hAnsi="黑体" w:eastAsia="黑体"/>
          <w:sz w:val="32"/>
          <w:szCs w:val="32"/>
          <w:highlight w:val="none"/>
        </w:rPr>
      </w:pPr>
      <w:bookmarkStart w:id="34" w:name="_Toc24143"/>
      <w:bookmarkStart w:id="35" w:name="_Toc3250"/>
      <w:r>
        <w:rPr>
          <w:rFonts w:hint="default" w:ascii="黑体"/>
          <w:b/>
          <w:kern w:val="44"/>
          <w:sz w:val="28"/>
        </w:rPr>
        <w:br w:type="page"/>
      </w:r>
      <w:r>
        <w:rPr>
          <w:rFonts w:hint="default" w:ascii="黑体"/>
          <w:b/>
          <w:spacing w:val="40"/>
          <w:sz w:val="28"/>
        </w:rPr>
        <w:t xml:space="preserve"> </w:t>
      </w:r>
      <w:r>
        <w:rPr>
          <w:rFonts w:hint="eastAsia" w:ascii="黑体" w:hAnsi="黑体" w:eastAsia="黑体"/>
          <w:sz w:val="32"/>
          <w:szCs w:val="32"/>
          <w:highlight w:val="none"/>
        </w:rPr>
        <w:t>第三部分 专业名词解释</w:t>
      </w:r>
      <w:bookmarkEnd w:id="34"/>
      <w:bookmarkEnd w:id="35"/>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2" w:firstLineChars="200"/>
        <w:jc w:val="center"/>
        <w:textAlignment w:val="auto"/>
        <w:outlineLvl w:val="0"/>
        <w:rPr>
          <w:rFonts w:hint="eastAsia" w:ascii="黑体" w:hAnsi="黑体" w:eastAsia="黑体"/>
          <w:sz w:val="32"/>
          <w:szCs w:val="32"/>
          <w:highlight w:val="none"/>
        </w:rPr>
      </w:pPr>
      <w:bookmarkStart w:id="36" w:name="_Toc28903"/>
      <w:bookmarkStart w:id="37" w:name="_Toc22784"/>
      <w:r>
        <w:rPr>
          <w:rFonts w:hint="default" w:ascii="黑体"/>
          <w:b/>
          <w:kern w:val="44"/>
          <w:sz w:val="28"/>
        </w:rPr>
        <w:br w:type="page"/>
      </w:r>
      <w:r>
        <w:rPr>
          <w:rFonts w:hint="default" w:ascii="黑体"/>
          <w:b/>
          <w:spacing w:val="40"/>
          <w:sz w:val="28"/>
        </w:rPr>
        <w:t xml:space="preserve"> </w:t>
      </w:r>
      <w:r>
        <w:rPr>
          <w:rFonts w:hint="eastAsia" w:ascii="黑体" w:hAnsi="黑体" w:eastAsia="黑体"/>
          <w:sz w:val="32"/>
          <w:szCs w:val="32"/>
          <w:highlight w:val="none"/>
        </w:rPr>
        <w:t>第四部分 部门决算报表（见附表）</w:t>
      </w:r>
      <w:bookmarkEnd w:id="36"/>
      <w:bookmarkEnd w:id="3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38" w:name="_Toc2183"/>
      <w:bookmarkStart w:id="39" w:name="_Toc6062"/>
      <w:r>
        <w:rPr>
          <w:rFonts w:hint="eastAsia" w:ascii="黑体" w:hAnsi="黑体" w:eastAsia="黑体" w:cs="宋体"/>
          <w:kern w:val="0"/>
          <w:sz w:val="32"/>
          <w:szCs w:val="32"/>
          <w:highlight w:val="none"/>
        </w:rPr>
        <w:t>一、《收入支出决算总表》</w:t>
      </w:r>
      <w:bookmarkEnd w:id="38"/>
      <w:bookmarkEnd w:id="39"/>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0" w:name="_Toc30364"/>
      <w:bookmarkStart w:id="41" w:name="_Toc24532"/>
      <w:r>
        <w:rPr>
          <w:rFonts w:hint="eastAsia" w:ascii="黑体" w:hAnsi="黑体" w:eastAsia="黑体" w:cs="宋体"/>
          <w:kern w:val="0"/>
          <w:sz w:val="32"/>
          <w:szCs w:val="32"/>
          <w:highlight w:val="none"/>
        </w:rPr>
        <w:t>二、《收入决算表》</w:t>
      </w:r>
      <w:bookmarkEnd w:id="40"/>
      <w:bookmarkEnd w:id="4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2" w:name="_Toc21304"/>
      <w:bookmarkStart w:id="43" w:name="_Toc32434"/>
      <w:r>
        <w:rPr>
          <w:rFonts w:hint="eastAsia" w:ascii="黑体" w:hAnsi="黑体" w:eastAsia="黑体" w:cs="宋体"/>
          <w:kern w:val="0"/>
          <w:sz w:val="32"/>
          <w:szCs w:val="32"/>
          <w:highlight w:val="none"/>
        </w:rPr>
        <w:t>三、《支出决算表》</w:t>
      </w:r>
      <w:bookmarkEnd w:id="42"/>
      <w:bookmarkEnd w:id="43"/>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4" w:name="_Toc14238"/>
      <w:bookmarkStart w:id="45" w:name="_Toc28786"/>
      <w:r>
        <w:rPr>
          <w:rFonts w:hint="eastAsia" w:ascii="黑体" w:hAnsi="黑体" w:eastAsia="黑体" w:cs="宋体"/>
          <w:kern w:val="0"/>
          <w:sz w:val="32"/>
          <w:szCs w:val="32"/>
          <w:highlight w:val="none"/>
        </w:rPr>
        <w:t>四、《财政拨款收入支出决算总表》</w:t>
      </w:r>
      <w:bookmarkEnd w:id="44"/>
      <w:bookmarkEnd w:id="45"/>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6" w:name="_Toc14869"/>
      <w:bookmarkStart w:id="47" w:name="_Toc10347"/>
      <w:r>
        <w:rPr>
          <w:rFonts w:hint="eastAsia" w:ascii="黑体" w:hAnsi="黑体" w:eastAsia="黑体" w:cs="宋体"/>
          <w:kern w:val="0"/>
          <w:sz w:val="32"/>
          <w:szCs w:val="32"/>
          <w:highlight w:val="none"/>
        </w:rPr>
        <w:t>五、《一般公共预算财政拨款支出决算表》</w:t>
      </w:r>
      <w:bookmarkEnd w:id="46"/>
      <w:bookmarkEnd w:id="4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48" w:name="_Toc5626"/>
      <w:bookmarkStart w:id="49" w:name="_Toc8884"/>
      <w:r>
        <w:rPr>
          <w:rFonts w:hint="eastAsia" w:ascii="黑体" w:hAnsi="黑体" w:eastAsia="黑体" w:cs="宋体"/>
          <w:kern w:val="0"/>
          <w:sz w:val="32"/>
          <w:szCs w:val="32"/>
          <w:highlight w:val="none"/>
        </w:rPr>
        <w:t>六、《一般公共预算财政拨款基本支出决算表》</w:t>
      </w:r>
      <w:bookmarkEnd w:id="48"/>
      <w:bookmarkEnd w:id="49"/>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rPr>
      </w:pPr>
      <w:bookmarkStart w:id="50" w:name="_Toc32663"/>
      <w:bookmarkStart w:id="51" w:name="_Toc29106"/>
      <w:r>
        <w:rPr>
          <w:rFonts w:hint="eastAsia" w:ascii="黑体" w:hAnsi="黑体" w:eastAsia="黑体" w:cs="宋体"/>
          <w:kern w:val="0"/>
          <w:sz w:val="32"/>
          <w:szCs w:val="32"/>
          <w:highlight w:val="none"/>
        </w:rPr>
        <w:t>七、《财政拨款“三公”经费支出决算表》</w:t>
      </w:r>
      <w:bookmarkEnd w:id="50"/>
      <w:bookmarkEnd w:id="5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bookmarkStart w:id="52" w:name="_Toc7643"/>
      <w:bookmarkStart w:id="53" w:name="_Toc5453"/>
      <w:r>
        <w:rPr>
          <w:rFonts w:hint="eastAsia" w:ascii="黑体" w:hAnsi="黑体" w:eastAsia="黑体" w:cs="宋体"/>
          <w:kern w:val="0"/>
          <w:sz w:val="32"/>
          <w:szCs w:val="32"/>
          <w:highlight w:val="none"/>
        </w:rPr>
        <w:t>八、《政府性基金预算财政拨款收入支出决算表》</w:t>
      </w:r>
      <w:bookmarkEnd w:id="52"/>
      <w:bookmarkEnd w:id="53"/>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hint="eastAsia" w:ascii="黑体" w:hAnsi="黑体" w:eastAsia="黑体" w:cs="宋体"/>
          <w:kern w:val="0"/>
          <w:sz w:val="32"/>
          <w:szCs w:val="32"/>
          <w:highlight w:val="none"/>
          <w:lang w:eastAsia="zh-CN"/>
        </w:rPr>
      </w:pPr>
      <w:r>
        <w:rPr>
          <w:rFonts w:hint="eastAsia" w:ascii="黑体" w:hAnsi="黑体" w:eastAsia="黑体" w:cs="宋体"/>
          <w:kern w:val="0"/>
          <w:sz w:val="32"/>
          <w:szCs w:val="32"/>
          <w:highlight w:val="none"/>
        </w:rPr>
        <w:t>九、《国有资本经营预算财政拨款收入支出决算表》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tabs>
                              <w:tab w:val="center" w:pos="4153"/>
                              <w:tab w:val="right" w:pos="8306"/>
                            </w:tabs>
                            <w:rPr>
                              <w:rFonts w:hint="eastAsia" w:eastAsia="宋体"/>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fill on="f" focussize="0,0"/>
              <v:stroke on="f"/>
              <v:imagedata o:title=""/>
              <o:lock v:ext="edit" aspectratio="f"/>
              <v:textbox inset="0mm,0mm,0mm,0mm" style="mso-fit-shape-to-text:t;">
                <w:txbxContent>
                  <w:p>
                    <w:pPr>
                      <w:pStyle w:val="4"/>
                      <w:tabs>
                        <w:tab w:val="center" w:pos="4153"/>
                        <w:tab w:val="right" w:pos="8306"/>
                      </w:tabs>
                      <w:rPr>
                        <w:rFonts w:hint="eastAsia" w:eastAsia="宋体"/>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yYWE5OTAyYzhiMTZjMTEzYjUwYjMzNmNmMjgwZDgifQ=="/>
  </w:docVars>
  <w:rsids>
    <w:rsidRoot w:val="00000000"/>
    <w:rsid w:val="22CF5240"/>
    <w:rsid w:val="47EF6CCA"/>
    <w:rsid w:val="480F01EF"/>
    <w:rsid w:val="4FEA1C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hint="default" w:ascii="Times New Roman" w:hAnsi="Times New Roman" w:eastAsia="宋体" w:cs="Times New Roman"/>
      <w:kern w:val="2"/>
      <w:sz w:val="21"/>
      <w:szCs w:val="24"/>
      <w:lang w:val="en-US" w:eastAsia="zh-CN"/>
    </w:rPr>
  </w:style>
  <w:style w:type="character" w:default="1" w:styleId="9">
    <w:name w:val="Default Paragraph Fon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snapToGrid w:val="0"/>
      <w:jc w:val="left"/>
    </w:pPr>
    <w:rPr>
      <w:sz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sz w:val="20"/>
      <w:szCs w:val="20"/>
    </w:rPr>
  </w:style>
  <w:style w:type="paragraph" w:customStyle="1" w:styleId="11">
    <w:name w:val="WPSOffice手动目录 2"/>
    <w:qFormat/>
    <w:uiPriority w:val="0"/>
    <w:pPr>
      <w:ind w:left="200"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Pages>
  <Words>5686</Words>
  <Characters>6346</Characters>
  <Lines>0</Lines>
  <Paragraphs>0</Paragraphs>
  <TotalTime>2</TotalTime>
  <ScaleCrop>false</ScaleCrop>
  <LinksUpToDate>false</LinksUpToDate>
  <CharactersWithSpaces>6364</CharactersWithSpaces>
  <Application>WPS Office_11.8.2.8555_F1E327BC-269C-435d-A152-05C5408002CA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2024-11-13T11:33:30Z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B63FBB0DD86C414FB52077D100F99C03_13</vt:lpwstr>
  </property>
</Properties>
</file>