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b w:val="0"/>
          <w:bCs w:val="0"/>
          <w:kern w:val="0"/>
          <w:sz w:val="32"/>
          <w:szCs w:val="32"/>
        </w:rPr>
      </w:pPr>
      <w:bookmarkStart w:id="0" w:name="_GoBack"/>
      <w:r>
        <w:rPr>
          <w:rFonts w:hint="eastAsia" w:ascii="仿宋" w:hAnsi="仿宋" w:eastAsia="仿宋" w:cs="宋体"/>
          <w:b w:val="0"/>
          <w:bCs w:val="0"/>
          <w:kern w:val="0"/>
          <w:sz w:val="32"/>
          <w:szCs w:val="32"/>
        </w:rPr>
        <w:t>附件2：</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自治区财政项目支出绩效自评报告</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r>
        <w:rPr>
          <w:rStyle w:val="18"/>
          <w:rFonts w:hint="eastAsia" w:ascii="楷体" w:hAnsi="楷体" w:eastAsia="楷体"/>
          <w:b w:val="0"/>
          <w:bCs w:val="0"/>
          <w:spacing w:val="-4"/>
          <w:sz w:val="32"/>
          <w:szCs w:val="32"/>
        </w:rPr>
        <w:t>2022</w:t>
      </w:r>
      <w:r>
        <w:rPr>
          <w:rFonts w:hint="eastAsia" w:hAnsi="宋体" w:eastAsia="仿宋_GB2312" w:cs="宋体"/>
          <w:b w:val="0"/>
          <w:bCs w:val="0"/>
          <w:kern w:val="0"/>
          <w:sz w:val="36"/>
          <w:szCs w:val="36"/>
        </w:rPr>
        <w:t xml:space="preserve">  年度）</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ascii="方正小标宋_GBK" w:hAnsi="宋体" w:eastAsia="方正小标宋_GBK" w:cs="宋体"/>
          <w:b w:val="0"/>
          <w:bCs w:val="0"/>
          <w:kern w:val="0"/>
          <w:sz w:val="36"/>
          <w:szCs w:val="36"/>
        </w:rPr>
      </w:pPr>
      <w:r>
        <w:rPr>
          <w:rFonts w:hint="eastAsia" w:ascii="方正小标宋_GBK" w:hAnsi="宋体" w:eastAsia="方正小标宋_GBK" w:cs="宋体"/>
          <w:b w:val="0"/>
          <w:bCs w:val="0"/>
          <w:kern w:val="0"/>
          <w:sz w:val="36"/>
          <w:szCs w:val="36"/>
        </w:rPr>
        <w:t>参考模板</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rPr>
          <w:rFonts w:hAnsi="宋体" w:eastAsia="仿宋_GB2312" w:cs="宋体"/>
          <w:b w:val="0"/>
          <w:bCs w:val="0"/>
          <w:kern w:val="0"/>
          <w:sz w:val="30"/>
          <w:szCs w:val="30"/>
        </w:rPr>
      </w:pPr>
    </w:p>
    <w:p>
      <w:pPr>
        <w:spacing w:line="700" w:lineRule="exact"/>
        <w:jc w:val="left"/>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塔地财乡财【2021】15号沙财字【2022】12号自治区农村综合改革转移支付资金</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沙湾市金沟河镇财政所</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沙湾市金沟河镇财政所</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柏晓飞</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2023年03月06日</w:t>
      </w:r>
    </w:p>
    <w:p>
      <w:pPr>
        <w:spacing w:line="700" w:lineRule="exact"/>
        <w:ind w:firstLine="708" w:firstLineChars="236"/>
        <w:jc w:val="left"/>
        <w:rPr>
          <w:rFonts w:hAnsi="宋体" w:eastAsia="仿宋_GB2312" w:cs="宋体"/>
          <w:b w:val="0"/>
          <w:bCs w:val="0"/>
          <w:kern w:val="0"/>
          <w:sz w:val="30"/>
          <w:szCs w:val="30"/>
        </w:rPr>
      </w:pPr>
    </w:p>
    <w:p>
      <w:pPr>
        <w:spacing w:line="540" w:lineRule="exact"/>
        <w:rPr>
          <w:rStyle w:val="18"/>
          <w:rFonts w:ascii="黑体" w:hAnsi="黑体" w:eastAsia="黑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（一）项目单位基本情况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地财乡财【2021】15号沙财字【2022】12号自治区农村综合改革转移支付资金用于金沟河村、南干渠村、三道湾村、柳树沟村人居环境改善。金沟河村绿化、净化及广场设施建设，栽种风景树300棵，铺设滴灌设施500米；南干渠村水塔维修、插卡安装插入式水表安装工程，安装插卡式水表210个，水塔维修、顶部防水110平米，维修水塔阀门8个；目柳树沟村村内林带绿化给水灌溉，安装节水滴灌8163.27米；三道湾村主干道路面加宽及路边林床新建。此项目的实施为群众提供良好的生活环境，改善村民人居环境。</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（二）项目预算</w:t>
      </w:r>
      <w:r>
        <w:rPr>
          <w:rStyle w:val="18"/>
          <w:rFonts w:ascii="楷体" w:hAnsi="楷体" w:eastAsia="楷体"/>
          <w:b w:val="0"/>
          <w:bCs w:val="0"/>
          <w:spacing w:val="-4"/>
          <w:sz w:val="32"/>
          <w:szCs w:val="32"/>
        </w:rPr>
        <w:t>绩效目标</w:t>
      </w:r>
      <w:r>
        <w:rPr>
          <w:rStyle w:val="18"/>
          <w:rFonts w:hint="eastAsia" w:ascii="楷体" w:hAnsi="楷体" w:eastAsia="楷体"/>
          <w:b w:val="0"/>
          <w:bCs w:val="0"/>
          <w:spacing w:val="-4"/>
          <w:sz w:val="32"/>
          <w:szCs w:val="32"/>
        </w:rPr>
        <w:t>设定情况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金沟河村绿化、净化及广场设施建设，栽种风景树300棵，铺设滴灌设施500米；南干渠村水塔维修、插卡安装插入式水表安装工程，安装插卡式水表210个，水塔维修、顶部防水110平米，维修水塔阀门8个；目柳树沟村村内林带绿化给水灌溉，安装节水滴灌8163.27米；三道湾村主干道路面加宽及路边林床新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金沟河村绿化、净化及广场设施建设，栽种风景树300棵，铺设滴灌设施500米；南干渠村水塔维修、插卡安装插入式水表安装工程，安装插卡式水表210个，水塔维修、顶部防水110平米，维修水塔阀门8个；目柳树沟村村内林带绿化给水灌溉，安装节水滴灌8163.27米；三道湾村主干道路面加宽及路边林床新建。</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二、项目资金使用及管理情况</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（一）项目资金安排落实、总投入等情况分析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（1）绩效评价的对象：塔地财乡财【2021】15号沙财字【2022】12号自治区农村综合改革转移支付资金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1.项目范围： 塔地财乡财【2021】15号沙财字【2022】12号自治区农村综合改革转移支付资金项目的完成情况、资金投入的运行情况、项目实施后产生的绩效及影响效果。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2.时间范围：2022年1月1日至2022年12月31日。</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（二）项目资金实际使用情况分析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塔地财乡财【2021】15号沙财字【2022】12号自治区农村综合改革转移支付资金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（三）项目资金管理情况分析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三、项目组织实施情况</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（一）项目组织情况分析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地财乡财【2021】15号沙财字【2022】12号自治区农村综合改革转移支付资金项目进行客观评价，最终评分结果为：总分为100分，绩效评级为“优秀”。详见附件1。</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（二）项目管理情况分析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乡财【2021】15号沙财字【2022】12号自治区农村综合改革转移支付资金项目设立依据为塔城地区文件：塔地财教[塔地财乡财【2021】15号沙财字【2022】12号自治区农村综合改革转移支付资金项目立项符合国家法律法规、国民经济发展规划和相关政策，符合行业发展规划和政策要求，与部门职责范围相符，属于部门履职所需，属于公共财政支持范围，符合中央、地方事权支出责任划分原则，同时没有与相关部门同类项目或部门内部相关项目重复。此项指标权重为4分，实际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严格按照项目规定程序申报设立，根据上级相关文件要求，组织场委会开会仔细研究，同时与主管单位相关工程师论证、评估，编制完成了《地财乡财【2021】15号沙财字【2022】12号自治区农村综合改革转移支付资金项目的实施方案》，并提交沙湾市财政局行评审，审批文件、材料符合相关要求，该项目事前已经过必要的可行性研究、专家论证、风险评估、绩效评估、集体决策。此项指标权重为3分，实际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金沟河镇人民政府塔地财乡财【2021】15号沙财字【2022】12号自治区农村综合改革转移支付资金项目项目在实施前已完成绩效目标，且项目绩效目标与实际工作内容具有相关性，预期产出效益和效果符合正常的业绩水平，与预算确定的项目投资额或资金量相匹配。此项指标权重为2分，实际得分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金沟河镇人民政府塔地财乡财【2021】15号沙财字【2022】12号自治区农村综合改革转移支付资金项目实施前已将项目绩效目标细化分解为具体的绩效指标，并已通过清晰、可衡量的指标值予以体现，绩效目标与项目目标任务数或计划数相对应。此项指标权重为2分，实际得分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金沟河镇人民政府塔地财乡财【2021】15号沙财字【2022】12号自治区农村综合改革转移支付资金项目的预算严格按照项目资金要求及《金沟河镇人民政府塔地财乡财【2021】15号沙财字【2022】12号自治区农村综合改革转移支付资金项目的实施方案》编制，已经过科学论证，预算内容与项目实施方案内容相匹配，严格把控预算，预算额度测算依据充分，严格按照《金沟河镇人民政府塔地财乡财【2021】15号沙财字【2022】12号自治区农村综合改革转移支付资金分配汇总表》额度标准编制预算，预算确定的项目投资额与工作任务相匹配。此项指标权重为3分，实际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金沟河镇人民政府金沟河镇人民政府塔地财乡财【2021】15号沙财字【2022】12号自治区农村综合改革转移支付资金分配依据《金沟河镇人民政府塔地财乡财【2021】15号沙财字【2022】12号自治区农村综合改革转移支付资金项目的实施方案》执行，资金分配依据充分，资金分配额度合理，且与沙湾市金沟河镇人民政府实际相适应。此项指标权重为3分，实际得分3分。</w:t>
      </w:r>
    </w:p>
    <w:p>
      <w:pPr>
        <w:spacing w:line="540" w:lineRule="exact"/>
        <w:ind w:firstLine="640"/>
        <w:rPr>
          <w:rStyle w:val="18"/>
          <w:rFonts w:ascii="黑体" w:hAnsi="黑体" w:eastAsia="黑体"/>
          <w:b w:val="0"/>
          <w:bCs w:val="0"/>
        </w:rPr>
      </w:pPr>
      <w:r>
        <w:rPr>
          <w:rStyle w:val="18"/>
          <w:rFonts w:hint="eastAsia" w:ascii="黑体" w:hAnsi="黑体" w:eastAsia="黑体"/>
          <w:b w:val="0"/>
          <w:bCs w:val="0"/>
          <w:spacing w:val="-4"/>
          <w:sz w:val="32"/>
          <w:szCs w:val="32"/>
        </w:rPr>
        <w:t>四、项目绩效情况</w:t>
      </w:r>
      <w:r>
        <w:rPr>
          <w:rStyle w:val="18"/>
          <w:rFonts w:hint="eastAsia" w:ascii="黑体" w:hAnsi="黑体" w:eastAsia="黑体"/>
          <w:b w:val="0"/>
          <w:bCs w:val="0"/>
        </w:rPr>
        <w:t xml:space="preserve"> </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（一）项目绩效目标完成情况分析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实际到位资金80万元，预算资金80万元，资金到位率100%；此项指标权重为5分，实际得分5分。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年初预算数0万元，全年预算数80万元，全年执行数 80万元，预算执行率为100%；此项指标权重为5分，实际得分5分。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沙湾市金沟河镇人民政府已制定相应的财务和业务管理制度，且制度合法、合规、完整，为项目顺利实施提供重要保障。此项指标权重为4分，实际得分4分。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现场调研和资料抽查情况，沙湾市金沟河镇人民政府严格遵守相关法律法规和相关管理规定，项目调整及支出调整手续完备，整体管理合理有序，项目完成后，及时将会计凭证，一事一议大本子等相关资料分类归档，制度执行有效。此项指标权重为4分，实际得分4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（二）项目绩效目标未完成原因分析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实际完成率：数量指标：指标1：受益村队（个），指标值：=4个，实际完成值：4 个，指标完成率100.00%；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指标2：栽种风景树（棵），指标值：&gt;=300棵，实际完成值：300颗，指标完成率100.00%；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指标3：垃圾桶购置数量（个），指标值：&gt;=120个，实际完成值：120个，指标完成率100.00%；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指标4：主干道路面加宽及路边林床新建护坡（公里），指标值：&gt;=1.20公里，实际完成值：1.2公里，指标完成率100.00%；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指标5：节水滴灌管道长度（米），指标值：&gt;=8163.27米，实际完成值：8163.27米，指标完成率100.00%；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指标6：插卡式水表安装（个），指标值：&gt;=210个，实际完成值：210个，指标完成率100.00%。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故此项指标权重为8分，实际得分8分。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质量达标率：质量指标：指标1：项目验收合格率（%），指标值：=100%，实际完成值：100%，指标完成率100.00%。故此项指标权重为8分，实际得分8分。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完成及时性：本项目按照合同约定，已在规定的时间（2022年1月1日至2022年12月31日）完成，故此项指标权重为7分，实际得分7分。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成本节约率：指标1：栽种风景树成本（万元），指标值：&lt;=8万元，实际完成值：8万元，指标完成率100.00%；指标2：购置垃圾桶成本（万元），指标值：&lt;=3.22万元，实际完成值：3.22万元，指标完成率100.00%；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指标3：村主干道路面加宽及路边林床新建护坡成本（万元/公里），指标值：&lt;=16.67万元/公里，实际完成值：16.67万元/公里，指标完成率100.00%；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指标4：滴灌安装工程（万元），指标值：&lt;=20万元，实际完成值：20万元，指标完成率100.00%；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指标5：插卡式水表安装成本（万元），指标值：&lt;=11.34万元，实际完成值：11.34万元，指标完成率100.00%；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故此项指标权重为7分，实际得分7分。</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五、其他需要说明的问题</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（一）后续工作计划</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项目效益指标由2个二级指标和2个三级指标构成，权重为20分，实际得分20分。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社会效益指标：评价指标“增强基层党组织组织力战斗力”，指标值：有所增强，实际完成值：达成年度指标。增强了基层党组织组织力战斗力，能更好的服务群众；此项指标权重为6分，实际得分6分。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生态效益指标：评价指标“改善农村人居环境”，指标值：有效改善，实际完成值：达成年度指标,改善了农村人居环境。此项指标权重为7分，实际得分7分。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可持续影响指标：评价指标“长期保障平稳进行”，指标值：长期，实际完成值：达成年度指标。该项目的实施更好的发挥了党组织的凝聚力。此项指标权重为7分，实际得分7分。</w:t>
      </w:r>
    </w:p>
    <w:p>
      <w:pPr>
        <w:spacing w:line="540" w:lineRule="exact"/>
        <w:ind w:firstLine="564" w:firstLineChars="181"/>
        <w:rPr>
          <w:rFonts w:ascii="楷体" w:hAnsi="楷体" w:eastAsia="楷体"/>
          <w:b w:val="0"/>
          <w:bCs w:val="0"/>
          <w:spacing w:val="-4"/>
          <w:sz w:val="32"/>
          <w:szCs w:val="32"/>
        </w:rPr>
      </w:pP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（二）主要经验及做法、存在问题和建议</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受益群众满意度（%）”，指标值：≥95%，实际完成值：96%。通过设置问卷调查的方式进行考评评价，共计调查样本总量为30个样本，有效调查问卷25份。其中，统计“满意度”的平均值为96%。此项指标权重为10分，实际得分10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（三）其他</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本项目预算执行率为100.00%，指标总体完成率为10.00%，二者之间的偏差值为0%，小于20%。因此，本项目较好地完成了年度总体目标，财政资金使用效益和效率较高。</w:t>
      </w:r>
    </w:p>
    <w:p>
      <w:pPr>
        <w:spacing w:line="540" w:lineRule="exact"/>
        <w:ind w:firstLine="564" w:firstLineChars="181"/>
        <w:rPr>
          <w:rFonts w:ascii="楷体" w:hAnsi="楷体" w:eastAsia="楷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六、项目评价工作情况</w:t>
      </w:r>
    </w:p>
    <w:p>
      <w:pPr>
        <w:ind w:firstLine="624" w:firstLineChars="200"/>
        <w:rPr>
          <w:rFonts w:ascii="仿宋_GB2312" w:eastAsia="仿宋_GB2312"/>
          <w:b w:val="0"/>
          <w:bCs w:val="0"/>
          <w:spacing w:val="-4"/>
          <w:sz w:val="32"/>
          <w:szCs w:val="32"/>
        </w:rPr>
      </w:pPr>
      <w:r>
        <w:rPr>
          <w:rFonts w:hint="eastAsia" w:ascii="仿宋_GB2312" w:eastAsia="仿宋_GB2312"/>
          <w:b w:val="0"/>
          <w:bCs w:val="0"/>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严格按照相关绩效管理的文件规定，及年初制定的监控工作计划，及时准确的做好本年度的绩效监控工作；按时对所有项目支出及部门整体支出进行绩效监控并形成分析资料，分析资金使用的合规、合理性，对有异议的资金支出及时进行纠正。确保每笔资金支出都能最大限度发挥效益。（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实施过程中对资金支付进度有待加强，对项目实施内容有待细化，分析资金使用的合规、合理性，对有异议的资金支出及时进行纠正，确保每笔资金支出都能最大限度发挥效益，并以此保障单位工作的顺畅运行。</w:t>
      </w:r>
    </w:p>
    <w:p>
      <w:pPr>
        <w:ind w:firstLine="624" w:firstLineChars="200"/>
        <w:rPr>
          <w:rFonts w:ascii="仿宋_GB2312" w:eastAsia="仿宋_GB2312"/>
          <w:b w:val="0"/>
          <w:bCs w:val="0"/>
          <w:spacing w:val="-4"/>
          <w:sz w:val="32"/>
          <w:szCs w:val="32"/>
        </w:rPr>
      </w:pPr>
    </w:p>
    <w:p>
      <w:pPr>
        <w:spacing w:line="540" w:lineRule="exact"/>
        <w:ind w:firstLine="567"/>
        <w:rPr>
          <w:rStyle w:val="18"/>
          <w:rFonts w:ascii="仿宋" w:hAnsi="仿宋" w:eastAsia="仿宋"/>
          <w:b w:val="0"/>
          <w:bCs w:val="0"/>
          <w:spacing w:val="-4"/>
          <w:sz w:val="32"/>
          <w:szCs w:val="32"/>
        </w:rPr>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8BD752-147D-468E-87EC-C15F67888B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3EEEB9B-75C6-41A9-B95E-1A0570813952}"/>
  </w:font>
  <w:font w:name="Noto Sans CJK JP Black">
    <w:altName w:val="Segoe Print"/>
    <w:panose1 w:val="000000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FD9AD12-38A7-46F6-93F0-9275059FF91C}"/>
  </w:font>
  <w:font w:name="华文中宋">
    <w:panose1 w:val="02010600040101010101"/>
    <w:charset w:val="86"/>
    <w:family w:val="auto"/>
    <w:pitch w:val="default"/>
    <w:sig w:usb0="00000287" w:usb1="080F0000" w:usb2="00000000" w:usb3="00000000" w:csb0="0004009F" w:csb1="DFD70000"/>
    <w:embedRegular r:id="rId4" w:fontKey="{3AC1DC0F-1D2D-4B63-9951-43F3EC2AF6A2}"/>
  </w:font>
  <w:font w:name="方正小标宋_GBK">
    <w:panose1 w:val="02000000000000000000"/>
    <w:charset w:val="86"/>
    <w:family w:val="script"/>
    <w:pitch w:val="default"/>
    <w:sig w:usb0="A00002BF" w:usb1="38CF7CFA" w:usb2="00082016" w:usb3="00000000" w:csb0="00040001" w:csb1="00000000"/>
    <w:embedRegular r:id="rId5" w:fontKey="{1E85FA92-30CB-48B5-B91A-DCD23ECB903A}"/>
  </w:font>
  <w:font w:name="仿宋_GB2312">
    <w:panose1 w:val="02010609030101010101"/>
    <w:charset w:val="86"/>
    <w:family w:val="modern"/>
    <w:pitch w:val="default"/>
    <w:sig w:usb0="00000001" w:usb1="080E0000" w:usb2="00000000" w:usb3="00000000" w:csb0="00040000" w:csb1="00000000"/>
    <w:embedRegular r:id="rId6" w:fontKey="{52E2D8D2-46BB-48BB-BA57-1E801696CC76}"/>
  </w:font>
  <w:font w:name="楷体">
    <w:panose1 w:val="02010609060101010101"/>
    <w:charset w:val="86"/>
    <w:family w:val="modern"/>
    <w:pitch w:val="default"/>
    <w:sig w:usb0="800002BF" w:usb1="38CF7CFA" w:usb2="00000016" w:usb3="00000000" w:csb0="00040001" w:csb1="00000000"/>
    <w:embedRegular r:id="rId7" w:fontKey="{FB86D7F8-0931-4022-AE54-1C1987D51F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jYzlhYmJjNDA5NTg0NTUwZDY3MDEzMWUwZjg2OTE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74892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6012</Words>
  <Characters>6444</Characters>
  <Lines>5</Lines>
  <Paragraphs>1</Paragraphs>
  <TotalTime>85</TotalTime>
  <ScaleCrop>false</ScaleCrop>
  <LinksUpToDate>false</LinksUpToDate>
  <CharactersWithSpaces>6465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2024-06-06T09:19:12Z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B4D4EC45CE72485E9A54AAF802F45304_12</vt:lpwstr>
  </property>
</Properties>
</file>