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leftChars="0" w:firstLine="0" w:firstLineChars="0"/>
        <w:jc w:val="center"/>
        <w:textAlignment w:val="baseline"/>
        <w:rPr>
          <w:rFonts w:hint="eastAsia" w:ascii="方正小标宋_GBK" w:hAnsi="方正小标宋_GBK" w:eastAsia="方正小标宋_GBK" w:cs="方正小标宋_GBK"/>
          <w:color w:val="auto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FF0000"/>
          <w:lang w:val="en-US" w:eastAsia="zh-CN"/>
        </w:rPr>
        <w:t xml:space="preserve">沙 湾 市 </w:t>
      </w:r>
      <w:r>
        <w:rPr>
          <w:rFonts w:hint="eastAsia" w:ascii="方正小标宋_GBK" w:hAnsi="方正小标宋_GBK" w:eastAsia="方正小标宋_GBK" w:cs="方正小标宋_GBK"/>
          <w:color w:val="auto"/>
          <w:lang w:val="en-US" w:eastAsia="zh-CN"/>
        </w:rPr>
        <w:t>政 务 服 务 中 心</w:t>
      </w:r>
    </w:p>
    <w:p>
      <w:pPr>
        <w:pStyle w:val="2"/>
        <w:keepNext/>
        <w:keepLines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leftChars="0" w:firstLine="0" w:firstLineChars="0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5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52"/>
          <w:szCs w:val="32"/>
          <w:lang w:val="en-US" w:eastAsia="zh-CN"/>
        </w:rPr>
        <w:t>办 事 指 南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leftChars="0" w:firstLine="640" w:firstLineChars="200"/>
        <w:jc w:val="both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2"/>
          <w:szCs w:val="32"/>
          <w:lang w:val="en-US" w:eastAsia="zh-CN"/>
        </w:rPr>
        <w:t>塔城地区住房公积金管理中心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1600" w:firstLineChars="500"/>
        <w:jc w:val="both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FF0000"/>
          <w:sz w:val="32"/>
          <w:szCs w:val="32"/>
          <w:lang w:val="en-US" w:eastAsia="zh-CN"/>
        </w:rPr>
        <w:t>沙湾市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2"/>
          <w:szCs w:val="32"/>
          <w:lang w:val="en-US" w:eastAsia="zh-CN"/>
        </w:rPr>
        <w:t>管理部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leftChars="0" w:firstLine="0" w:firstLineChars="0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21"/>
          <w:u w:val="singl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21"/>
          <w:u w:val="single"/>
          <w:lang w:val="en-US" w:eastAsia="zh-CN"/>
        </w:rPr>
        <w:t xml:space="preserve">                             </w:t>
      </w:r>
    </w:p>
    <w:p>
      <w:pPr>
        <w:rPr>
          <w:rFonts w:hint="eastAsia" w:ascii="方正小标宋_GBK" w:hAnsi="方正小标宋_GBK" w:eastAsia="方正小标宋_GBK" w:cs="方正小标宋_GBK"/>
          <w:b/>
          <w:i w:val="0"/>
          <w:caps w:val="0"/>
          <w:color w:val="auto"/>
          <w:spacing w:val="0"/>
          <w:sz w:val="39"/>
          <w:szCs w:val="39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i w:val="0"/>
          <w:caps w:val="0"/>
          <w:color w:val="auto"/>
          <w:spacing w:val="0"/>
          <w:sz w:val="39"/>
          <w:szCs w:val="39"/>
          <w:shd w:val="clear" w:fill="FFFFFF"/>
          <w:lang w:val="en-US" w:eastAsia="zh-CN"/>
        </w:rPr>
        <w:t>异地再交易住房贷款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楷体_GB2312" w:hAnsi="楷体_GB2312" w:eastAsia="楷体_GB2312" w:cs="楷体_GB2312"/>
          <w:b/>
          <w:bCs/>
          <w:color w:val="auto"/>
          <w:sz w:val="28"/>
          <w:szCs w:val="18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28"/>
          <w:szCs w:val="18"/>
          <w:u w:val="none"/>
          <w:lang w:val="en-US" w:eastAsia="zh-CN"/>
        </w:rPr>
        <w:t>受理条件</w:t>
      </w:r>
    </w:p>
    <w:p>
      <w:pPr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</w:rPr>
        <w:t>缴存人购买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eastAsia="zh-CN"/>
        </w:rPr>
        <w:t>异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</w:rPr>
        <w:t>地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eastAsia="zh-CN"/>
        </w:rPr>
        <w:t>再交易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</w:rPr>
        <w:t>住房，向住房公积金管理中心申请住房公积金个人住房贷款。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eastAsia="zh-CN"/>
        </w:rPr>
      </w:pP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</w:rPr>
        <w:t>具有完全民事行为能力，信用良好、收入稳定，有偿还贷款本息的能力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</w:rPr>
        <w:t>.至少在申请贷款前6个月连续逐月足额正常缴存住房公积金，异地缴存时间应合并计算。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</w:rPr>
        <w:t>.借款申请人为购房人。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</w:rPr>
        <w:t>.没有尚未还清的数额较大、可能影响贷款偿还能力的债务。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</w:rPr>
        <w:t>.未超过法定退休年龄。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</w:rPr>
        <w:t>.有合法的购买住房合同、协议以及有关部门批准的证明文件。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</w:rPr>
        <w:t>.购买自住住房的，应已支付不低于规定比例的首期购房款。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</w:rPr>
        <w:t>.购买普通自住住房原则上在确权日期之日起一年内提出申请。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</w:rPr>
        <w:t>.具有管理中心认可的担保方式，同意管理中心规定的贷款偿还方式。</w:t>
      </w:r>
    </w:p>
    <w:p>
      <w:pPr>
        <w:pStyle w:val="2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exact"/>
        <w:ind w:leftChars="0" w:firstLine="4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</w:rPr>
        <w:t>1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</w:rPr>
        <w:t>.自结清首次住房公积金个人住房贷款的次月起，可再次申请住房公积金个人住房贷款。</w:t>
      </w: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28"/>
          <w:szCs w:val="28"/>
          <w:u w:val="none"/>
          <w:lang w:val="en-US" w:eastAsia="zh-CN"/>
        </w:rPr>
        <w:t>二、办理材料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wordWrap/>
        <w:overflowPunct/>
        <w:topLinePunct w:val="0"/>
        <w:bidi w:val="0"/>
        <w:adjustRightInd w:val="0"/>
        <w:snapToGrid w:val="0"/>
        <w:spacing w:line="480" w:lineRule="exact"/>
        <w:ind w:left="0" w:leftChars="0" w:firstLine="440" w:firstLineChars="200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val="en-US" w:eastAsia="zh-CN"/>
        </w:rPr>
        <w:t xml:space="preserve">1.借款人夫妻双方身份证原件；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wordWrap/>
        <w:overflowPunct/>
        <w:topLinePunct w:val="0"/>
        <w:bidi w:val="0"/>
        <w:adjustRightInd w:val="0"/>
        <w:snapToGrid w:val="0"/>
        <w:spacing w:line="480" w:lineRule="exact"/>
        <w:ind w:left="0" w:leftChars="0" w:firstLine="440" w:firstLineChars="200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val="en-US" w:eastAsia="zh-CN"/>
        </w:rPr>
        <w:t xml:space="preserve">2.婚姻状况证明原件；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wordWrap/>
        <w:overflowPunct/>
        <w:topLinePunct w:val="0"/>
        <w:bidi w:val="0"/>
        <w:adjustRightInd w:val="0"/>
        <w:snapToGrid w:val="0"/>
        <w:spacing w:line="480" w:lineRule="exact"/>
        <w:ind w:left="0" w:leftChars="0" w:firstLine="440" w:firstLineChars="200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val="en-US" w:eastAsia="zh-CN"/>
        </w:rPr>
        <w:t>3.借款人工资卡原件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firstLine="464" w:firstLineChars="200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pacing w:val="6"/>
          <w:sz w:val="22"/>
          <w:szCs w:val="22"/>
          <w:highlight w:val="none"/>
        </w:rPr>
        <w:t>在异地管理中心缴存的借款人</w:t>
      </w:r>
      <w:r>
        <w:rPr>
          <w:rFonts w:hint="eastAsia" w:ascii="仿宋_GB2312" w:hAnsi="仿宋_GB2312" w:cs="仿宋_GB2312"/>
          <w:color w:val="auto"/>
          <w:spacing w:val="6"/>
          <w:sz w:val="22"/>
          <w:szCs w:val="22"/>
          <w:highlight w:val="none"/>
          <w:lang w:eastAsia="zh-CN"/>
        </w:rPr>
        <w:t>或借款人</w:t>
      </w:r>
      <w:r>
        <w:rPr>
          <w:rFonts w:hint="eastAsia" w:ascii="仿宋_GB2312" w:hAnsi="仿宋_GB2312" w:eastAsia="仿宋_GB2312" w:cs="仿宋_GB2312"/>
          <w:color w:val="auto"/>
          <w:spacing w:val="6"/>
          <w:sz w:val="22"/>
          <w:szCs w:val="22"/>
          <w:highlight w:val="none"/>
        </w:rPr>
        <w:t>配偶应提供近6个月缴存流水</w:t>
      </w:r>
      <w:r>
        <w:rPr>
          <w:rFonts w:hint="eastAsia" w:ascii="仿宋_GB2312" w:hAnsi="仿宋_GB2312" w:cs="仿宋_GB2312"/>
          <w:color w:val="auto"/>
          <w:spacing w:val="6"/>
          <w:sz w:val="22"/>
          <w:szCs w:val="22"/>
          <w:highlight w:val="none"/>
          <w:lang w:eastAsia="zh-CN"/>
        </w:rPr>
        <w:t>和</w:t>
      </w:r>
      <w:r>
        <w:rPr>
          <w:rFonts w:hint="eastAsia" w:ascii="仿宋_GB2312" w:hAnsi="仿宋_GB2312" w:eastAsia="仿宋_GB2312" w:cs="仿宋_GB2312"/>
          <w:color w:val="auto"/>
          <w:spacing w:val="6"/>
          <w:sz w:val="22"/>
          <w:szCs w:val="22"/>
          <w:highlight w:val="none"/>
        </w:rPr>
        <w:t>异地贷款</w:t>
      </w:r>
      <w:r>
        <w:rPr>
          <w:rFonts w:hint="eastAsia" w:ascii="仿宋_GB2312" w:hAnsi="仿宋_GB2312" w:cs="仿宋_GB2312"/>
          <w:color w:val="auto"/>
          <w:spacing w:val="6"/>
          <w:sz w:val="22"/>
          <w:szCs w:val="22"/>
          <w:highlight w:val="none"/>
          <w:lang w:eastAsia="zh-CN"/>
        </w:rPr>
        <w:t>情况</w:t>
      </w:r>
      <w:r>
        <w:rPr>
          <w:rFonts w:hint="eastAsia" w:ascii="仿宋_GB2312" w:hAnsi="仿宋_GB2312" w:eastAsia="仿宋_GB2312" w:cs="仿宋_GB2312"/>
          <w:color w:val="auto"/>
          <w:spacing w:val="6"/>
          <w:sz w:val="22"/>
          <w:szCs w:val="22"/>
          <w:highlight w:val="none"/>
        </w:rPr>
        <w:t>证明</w:t>
      </w:r>
      <w:r>
        <w:rPr>
          <w:rFonts w:hint="eastAsia" w:ascii="仿宋_GB2312" w:hAnsi="仿宋_GB2312" w:eastAsia="仿宋_GB2312" w:cs="仿宋_GB2312"/>
          <w:color w:val="auto"/>
          <w:spacing w:val="6"/>
          <w:sz w:val="22"/>
          <w:szCs w:val="2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6"/>
          <w:sz w:val="22"/>
          <w:szCs w:val="22"/>
          <w:highlight w:val="none"/>
        </w:rPr>
        <w:t>通过</w:t>
      </w:r>
      <w:r>
        <w:rPr>
          <w:rFonts w:hint="eastAsia" w:ascii="仿宋_GB2312" w:hAnsi="仿宋_GB2312" w:eastAsia="仿宋_GB2312" w:cs="仿宋_GB2312"/>
          <w:color w:val="auto"/>
          <w:spacing w:val="6"/>
          <w:sz w:val="22"/>
          <w:szCs w:val="22"/>
          <w:highlight w:val="none"/>
          <w:lang w:val="en-US" w:eastAsia="zh-CN"/>
        </w:rPr>
        <w:t>公积金综合业务系统能够</w:t>
      </w:r>
      <w:r>
        <w:rPr>
          <w:rFonts w:hint="eastAsia" w:ascii="仿宋_GB2312" w:hAnsi="仿宋_GB2312" w:eastAsia="仿宋_GB2312" w:cs="仿宋_GB2312"/>
          <w:color w:val="auto"/>
          <w:spacing w:val="6"/>
          <w:sz w:val="22"/>
          <w:szCs w:val="22"/>
          <w:highlight w:val="none"/>
        </w:rPr>
        <w:t>直接查询到的可不提供；</w:t>
      </w:r>
      <w:r>
        <w:rPr>
          <w:rFonts w:hint="eastAsia" w:ascii="仿宋_GB2312" w:hAnsi="仿宋_GB2312" w:cs="仿宋_GB2312"/>
          <w:color w:val="auto"/>
          <w:spacing w:val="6"/>
          <w:sz w:val="22"/>
          <w:szCs w:val="22"/>
          <w:highlight w:val="none"/>
          <w:lang w:eastAsia="zh-CN"/>
        </w:rPr>
        <w:t>借款人</w:t>
      </w:r>
      <w:r>
        <w:rPr>
          <w:rFonts w:hint="eastAsia" w:ascii="仿宋_GB2312" w:hAnsi="仿宋_GB2312" w:eastAsia="仿宋_GB2312" w:cs="仿宋_GB2312"/>
          <w:color w:val="auto"/>
          <w:spacing w:val="6"/>
          <w:sz w:val="22"/>
          <w:szCs w:val="22"/>
          <w:highlight w:val="none"/>
        </w:rPr>
        <w:t>配偶未缴存住房公积金的，</w:t>
      </w:r>
      <w:r>
        <w:rPr>
          <w:rFonts w:hint="eastAsia" w:ascii="仿宋_GB2312" w:hAnsi="仿宋_GB2312" w:eastAsia="仿宋_GB2312" w:cs="仿宋_GB2312"/>
          <w:color w:val="auto"/>
          <w:spacing w:val="6"/>
          <w:sz w:val="22"/>
          <w:szCs w:val="22"/>
          <w:highlight w:val="none"/>
          <w:lang w:eastAsia="zh-CN"/>
        </w:rPr>
        <w:t>提供能够反映其真实收入的有效证明材料</w:t>
      </w:r>
      <w:r>
        <w:rPr>
          <w:rFonts w:hint="eastAsia" w:ascii="仿宋_GB2312" w:hAnsi="仿宋_GB2312" w:cs="仿宋_GB2312"/>
          <w:color w:val="auto"/>
          <w:spacing w:val="6"/>
          <w:sz w:val="22"/>
          <w:szCs w:val="2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val="en-US" w:eastAsia="zh-CN"/>
        </w:rPr>
        <w:t xml:space="preserve">                                                                                                      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val="en-US" w:eastAsia="zh-CN"/>
        </w:rPr>
        <w:t>.购买住房合同原件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val="en-US"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wordWrap/>
        <w:overflowPunct/>
        <w:topLinePunct w:val="0"/>
        <w:bidi w:val="0"/>
        <w:adjustRightInd w:val="0"/>
        <w:snapToGrid w:val="0"/>
        <w:spacing w:line="480" w:lineRule="exact"/>
        <w:ind w:left="0" w:leftChars="0" w:firstLine="440" w:firstLineChars="200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val="en-US" w:eastAsia="zh-CN"/>
        </w:rPr>
        <w:t>.首付款证明原件及复印件；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wordWrap/>
        <w:overflowPunct/>
        <w:topLinePunct w:val="0"/>
        <w:bidi w:val="0"/>
        <w:adjustRightInd w:val="0"/>
        <w:snapToGrid w:val="0"/>
        <w:spacing w:line="480" w:lineRule="exact"/>
        <w:ind w:left="0" w:leftChars="0" w:firstLine="440" w:firstLineChars="200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val="en-US" w:eastAsia="zh-CN"/>
        </w:rPr>
        <w:t>.契税完税证明原件及复印件；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wordWrap/>
        <w:overflowPunct/>
        <w:topLinePunct w:val="0"/>
        <w:bidi w:val="0"/>
        <w:adjustRightInd w:val="0"/>
        <w:snapToGrid w:val="0"/>
        <w:spacing w:line="480" w:lineRule="exact"/>
        <w:ind w:left="0" w:leftChars="0" w:firstLine="440" w:firstLineChars="200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val="en-US" w:eastAsia="zh-CN"/>
        </w:rPr>
        <w:t>.已过户到借款人名下的《不动产权证书》原件及复印件；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wordWrap/>
        <w:overflowPunct/>
        <w:topLinePunct w:val="0"/>
        <w:bidi w:val="0"/>
        <w:adjustRightInd w:val="0"/>
        <w:snapToGrid w:val="0"/>
        <w:spacing w:line="480" w:lineRule="exact"/>
        <w:ind w:left="0" w:leftChars="0" w:firstLine="440" w:firstLineChars="200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val="en-US" w:eastAsia="zh-CN"/>
        </w:rPr>
        <w:t>.用所购房产抵押的异地不动产中心需支持异地抵押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val="en-US"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wordWrap/>
        <w:overflowPunct/>
        <w:topLinePunct w:val="0"/>
        <w:bidi w:val="0"/>
        <w:adjustRightInd w:val="0"/>
        <w:snapToGrid w:val="0"/>
        <w:spacing w:line="480" w:lineRule="exact"/>
        <w:ind w:left="0" w:leftChars="0" w:firstLine="440" w:firstLineChars="200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val="en-US" w:eastAsia="zh-CN"/>
        </w:rPr>
        <w:t>.抵押房产的《不动产权证书》原件及复印件，如用第三人房产抵押，还需提供抵押人及配偶身份证、结婚证原件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val="en-US" w:eastAsia="zh-CN"/>
        </w:rPr>
        <w:t>抵押房产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val="en-US" w:eastAsia="zh-CN"/>
        </w:rPr>
        <w:t>评估报告原件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val="en-US"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wordWrap/>
        <w:overflowPunct/>
        <w:topLinePunct w:val="0"/>
        <w:bidi w:val="0"/>
        <w:adjustRightInd w:val="0"/>
        <w:snapToGrid w:val="0"/>
        <w:spacing w:line="480" w:lineRule="exact"/>
        <w:ind w:left="435" w:leftChars="136" w:firstLine="0" w:firstLineChars="0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val="en-US" w:eastAsia="zh-CN"/>
        </w:rPr>
        <w:t>1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val="en-US" w:eastAsia="zh-CN"/>
        </w:rPr>
        <w:t>.借款人及配偶近一个月内的个人征信报告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val="en-US" w:eastAsia="zh-CN"/>
        </w:rPr>
        <w:t xml:space="preserve">                                                                                                                                1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val="en-US" w:eastAsia="zh-CN"/>
        </w:rPr>
        <w:t>.住房公积金中心要求提供的其他资料。</w:t>
      </w:r>
    </w:p>
    <w:p>
      <w:pPr>
        <w:numPr>
          <w:ilvl w:val="0"/>
          <w:numId w:val="0"/>
        </w:numPr>
        <w:ind w:leftChars="0"/>
        <w:rPr>
          <w:rFonts w:hint="eastAsia" w:ascii="楷体_GB2312" w:hAnsi="楷体_GB2312" w:eastAsia="楷体_GB2312" w:cs="楷体_GB2312"/>
          <w:b/>
          <w:bCs/>
          <w:color w:val="auto"/>
          <w:sz w:val="28"/>
          <w:szCs w:val="28"/>
          <w:u w:val="none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楷体_GB2312" w:hAnsi="楷体_GB2312" w:eastAsia="楷体_GB2312" w:cs="楷体_GB2312"/>
          <w:b/>
          <w:bCs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28"/>
          <w:szCs w:val="28"/>
          <w:u w:val="none"/>
          <w:lang w:val="en-US" w:eastAsia="zh-CN"/>
        </w:rPr>
        <w:t>三、办理方式</w:t>
      </w:r>
    </w:p>
    <w:p>
      <w:pPr>
        <w:numPr>
          <w:ilvl w:val="0"/>
          <w:numId w:val="0"/>
        </w:numPr>
        <w:ind w:leftChars="0" w:firstLine="440" w:firstLineChars="2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2"/>
          <w:szCs w:val="2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2"/>
          <w:szCs w:val="22"/>
          <w:shd w:val="clear" w:fill="FFFFFF"/>
        </w:rPr>
        <w:t>窗口办理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sz w:val="22"/>
          <w:szCs w:val="2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2"/>
          <w:szCs w:val="22"/>
          <w:shd w:val="clear" w:fill="FFFFFF"/>
        </w:rPr>
        <w:t>网上办理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sz w:val="22"/>
          <w:szCs w:val="2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2"/>
          <w:szCs w:val="22"/>
          <w:shd w:val="clear" w:fill="FFFFFF"/>
        </w:rPr>
        <w:t>快递申请</w:t>
      </w:r>
    </w:p>
    <w:p>
      <w:pPr>
        <w:numPr>
          <w:ilvl w:val="0"/>
          <w:numId w:val="0"/>
        </w:numPr>
        <w:ind w:leftChars="0" w:firstLine="440" w:firstLineChars="2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2"/>
          <w:szCs w:val="22"/>
          <w:shd w:val="clear" w:fill="FFFFFF"/>
        </w:rPr>
      </w:pPr>
    </w:p>
    <w:p>
      <w:pPr>
        <w:numPr>
          <w:ilvl w:val="0"/>
          <w:numId w:val="0"/>
        </w:numPr>
        <w:rPr>
          <w:rFonts w:hint="default" w:ascii="楷体_GB2312" w:hAnsi="楷体_GB2312" w:eastAsia="楷体_GB2312" w:cs="楷体_GB2312"/>
          <w:b/>
          <w:bCs/>
          <w:color w:val="auto"/>
          <w:sz w:val="28"/>
          <w:szCs w:val="18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28"/>
          <w:szCs w:val="18"/>
          <w:u w:val="none"/>
          <w:lang w:val="en-US" w:eastAsia="zh-CN"/>
        </w:rPr>
        <w:t>四、办理时限</w:t>
      </w:r>
    </w:p>
    <w:p>
      <w:pPr>
        <w:ind w:left="0" w:leftChars="0" w:firstLine="4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22"/>
          <w:szCs w:val="2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2"/>
          <w:szCs w:val="22"/>
          <w:u w:val="none"/>
          <w:lang w:val="en-US" w:eastAsia="zh-CN"/>
        </w:rPr>
        <w:t>法定时限：15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（工作日）</w:t>
      </w:r>
    </w:p>
    <w:p>
      <w:pPr>
        <w:pStyle w:val="2"/>
        <w:ind w:left="0" w:leftChars="0" w:firstLine="440" w:firstLineChars="200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z w:val="22"/>
          <w:szCs w:val="2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2"/>
          <w:szCs w:val="22"/>
          <w:u w:val="none"/>
          <w:lang w:val="en-US" w:eastAsia="zh-CN"/>
        </w:rPr>
        <w:t xml:space="preserve">承诺时间：8 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（工作日）</w:t>
      </w:r>
    </w:p>
    <w:p>
      <w:pPr>
        <w:numPr>
          <w:ilvl w:val="0"/>
          <w:numId w:val="0"/>
        </w:numPr>
        <w:ind w:leftChars="0"/>
        <w:rPr>
          <w:rFonts w:hint="eastAsia" w:ascii="楷体_GB2312" w:hAnsi="楷体_GB2312" w:eastAsia="楷体_GB2312" w:cs="楷体_GB2312"/>
          <w:b/>
          <w:bCs/>
          <w:snapToGrid w:val="0"/>
          <w:color w:val="auto"/>
          <w:sz w:val="28"/>
          <w:szCs w:val="18"/>
          <w:u w:val="none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楷体_GB2312" w:hAnsi="楷体_GB2312" w:eastAsia="楷体_GB2312" w:cs="楷体_GB2312"/>
          <w:b/>
          <w:bCs/>
          <w:color w:val="auto"/>
          <w:sz w:val="28"/>
          <w:szCs w:val="18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28"/>
          <w:szCs w:val="18"/>
          <w:u w:val="none"/>
          <w:lang w:val="en-US" w:eastAsia="zh-CN"/>
        </w:rPr>
        <w:t>五、收费依据及标准</w:t>
      </w:r>
    </w:p>
    <w:p>
      <w:pPr>
        <w:numPr>
          <w:ilvl w:val="0"/>
          <w:numId w:val="0"/>
        </w:numPr>
        <w:ind w:leftChars="0" w:firstLine="660" w:firstLineChars="300"/>
        <w:rPr>
          <w:rFonts w:hint="eastAsia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napToGrid w:val="0"/>
          <w:color w:val="auto"/>
          <w:sz w:val="22"/>
          <w:szCs w:val="22"/>
          <w:u w:val="none"/>
          <w:lang w:val="en-US" w:eastAsia="zh-CN"/>
        </w:rPr>
        <w:t>不收费</w:t>
      </w:r>
    </w:p>
    <w:p>
      <w:pPr>
        <w:numPr>
          <w:ilvl w:val="0"/>
          <w:numId w:val="0"/>
        </w:numPr>
        <w:ind w:leftChars="0"/>
        <w:rPr>
          <w:rFonts w:hint="default" w:ascii="楷体_GB2312" w:hAnsi="楷体_GB2312" w:eastAsia="楷体_GB2312" w:cs="楷体_GB2312"/>
          <w:b/>
          <w:bCs/>
          <w:color w:val="auto"/>
          <w:sz w:val="28"/>
          <w:szCs w:val="18"/>
          <w:u w:val="none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楷体_GB2312" w:hAnsi="楷体_GB2312" w:eastAsia="楷体_GB2312" w:cs="楷体_GB2312"/>
          <w:b/>
          <w:bCs/>
          <w:color w:val="auto"/>
          <w:sz w:val="28"/>
          <w:szCs w:val="18"/>
          <w:u w:val="none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楷体_GB2312" w:hAnsi="楷体_GB2312" w:eastAsia="楷体_GB2312" w:cs="楷体_GB2312"/>
          <w:b/>
          <w:bCs/>
          <w:color w:val="auto"/>
          <w:sz w:val="28"/>
          <w:szCs w:val="18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28"/>
          <w:szCs w:val="18"/>
          <w:u w:val="none"/>
          <w:lang w:val="en-US" w:eastAsia="zh-CN"/>
        </w:rPr>
        <w:t>六、办事时间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64" w:firstLineChars="200"/>
        <w:textAlignment w:val="baseline"/>
        <w:rPr>
          <w:rFonts w:hint="eastAsia" w:ascii="楷体_GB2312" w:hAnsi="楷体_GB2312" w:eastAsia="楷体_GB2312" w:cs="楷体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周一至周五 双休日及法定节假日除外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64" w:firstLineChars="200"/>
        <w:textAlignment w:val="baseline"/>
        <w:rPr>
          <w:rFonts w:hint="eastAsia" w:ascii="楷体_GB2312" w:hAnsi="楷体_GB2312" w:eastAsia="楷体_GB2312" w:cs="楷体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 xml:space="preserve">夏季：上午 10:00至14:00 下午16:00至20:00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64" w:firstLineChars="200"/>
        <w:textAlignment w:val="baseline"/>
        <w:rPr>
          <w:rFonts w:hint="eastAsia" w:ascii="楷体_GB2312" w:hAnsi="楷体_GB2312" w:eastAsia="楷体_GB2312" w:cs="楷体_GB231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冬季：上午 10:00至14:00 下午16:00至20:00</w:t>
      </w:r>
    </w:p>
    <w:p>
      <w:pPr>
        <w:pStyle w:val="2"/>
        <w:rPr>
          <w:rFonts w:hint="eastAsia" w:ascii="楷体_GB2312" w:hAnsi="楷体_GB2312" w:eastAsia="楷体_GB2312" w:cs="楷体_GB2312"/>
          <w:lang w:val="en-US" w:eastAsia="zh-CN"/>
        </w:rPr>
      </w:pPr>
    </w:p>
    <w:p>
      <w:pPr>
        <w:ind w:left="0" w:leftChars="0" w:firstLine="0" w:firstLineChars="0"/>
        <w:rPr>
          <w:rFonts w:hint="eastAsia" w:ascii="楷体_GB2312" w:hAnsi="楷体_GB2312" w:eastAsia="楷体_GB2312" w:cs="楷体_GB2312"/>
          <w:b/>
          <w:bCs/>
          <w:color w:val="FF0000"/>
          <w:sz w:val="28"/>
          <w:szCs w:val="18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FF0000"/>
          <w:sz w:val="28"/>
          <w:szCs w:val="18"/>
          <w:lang w:val="en-US" w:eastAsia="zh-CN"/>
        </w:rPr>
        <w:t>七、办理机构及地点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leftChars="0" w:firstLine="464" w:firstLineChars="200"/>
        <w:jc w:val="both"/>
        <w:textAlignment w:val="baseline"/>
        <w:rPr>
          <w:rFonts w:hint="eastAsia" w:ascii="楷体_GB2312" w:hAnsi="楷体_GB2312" w:eastAsia="楷体_GB2312" w:cs="楷体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办理机构：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塔城地区住房公积金管理中心</w:t>
      </w:r>
      <w:r>
        <w:rPr>
          <w:rFonts w:hint="eastAsia" w:ascii="楷体_GB2312" w:hAnsi="楷体_GB2312" w:eastAsia="楷体_GB2312" w:cs="楷体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沙湾市管理部</w:t>
      </w: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64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办理地点：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新疆维吾尔自治区塔城地区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沙湾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市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书香街道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城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东社区智慧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大道东路1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05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号政服务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中心一楼C01-C04住房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公积金窗口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。</w:t>
      </w:r>
    </w:p>
    <w:p>
      <w:pPr>
        <w:pStyle w:val="2"/>
        <w:ind w:left="0" w:leftChars="0" w:firstLine="0" w:firstLineChars="0"/>
        <w:rPr>
          <w:rFonts w:hint="eastAsia" w:ascii="楷体_GB2312" w:hAnsi="楷体_GB2312" w:eastAsia="楷体_GB2312" w:cs="楷体_GB2312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楷体_GB2312" w:hAnsi="楷体_GB2312" w:eastAsia="楷体_GB2312" w:cs="楷体_GB2312"/>
          <w:b/>
          <w:bCs/>
          <w:color w:val="auto"/>
          <w:sz w:val="28"/>
          <w:szCs w:val="18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28"/>
          <w:szCs w:val="18"/>
          <w:u w:val="none"/>
          <w:lang w:val="en-US" w:eastAsia="zh-CN"/>
        </w:rPr>
        <w:t>八、咨询查询途径</w:t>
      </w:r>
    </w:p>
    <w:p>
      <w:pPr>
        <w:pStyle w:val="2"/>
        <w:numPr>
          <w:ilvl w:val="0"/>
          <w:numId w:val="0"/>
        </w:numPr>
        <w:ind w:firstLine="440" w:firstLineChars="200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0"/>
          <w:sz w:val="22"/>
          <w:szCs w:val="22"/>
          <w:shd w:val="clear" w:fill="FFFFFF"/>
          <w:lang w:eastAsia="zh-CN"/>
        </w:rPr>
        <w:t>咨询电话：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0"/>
          <w:sz w:val="22"/>
          <w:szCs w:val="22"/>
          <w:shd w:val="clear" w:fill="FFFFFF"/>
          <w:lang w:val="en-US" w:eastAsia="zh-CN"/>
        </w:rPr>
        <w:t>12329</w:t>
      </w:r>
    </w:p>
    <w:p>
      <w:pPr>
        <w:pStyle w:val="2"/>
        <w:numPr>
          <w:ilvl w:val="0"/>
          <w:numId w:val="0"/>
        </w:numPr>
        <w:ind w:firstLine="1540" w:firstLineChars="700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0"/>
          <w:sz w:val="22"/>
          <w:szCs w:val="22"/>
          <w:shd w:val="clear" w:fill="FFFFFF"/>
        </w:rPr>
        <w:t>09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0"/>
          <w:sz w:val="22"/>
          <w:szCs w:val="22"/>
          <w:shd w:val="clear" w:fill="FFFFFF"/>
          <w:lang w:val="en-US" w:eastAsia="zh-CN"/>
        </w:rPr>
        <w:t>93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0"/>
          <w:sz w:val="22"/>
          <w:szCs w:val="22"/>
          <w:shd w:val="clear" w:fill="FFFFFF"/>
        </w:rPr>
        <w:t>-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0"/>
          <w:sz w:val="22"/>
          <w:szCs w:val="22"/>
          <w:shd w:val="clear" w:fill="FFFFFF"/>
          <w:lang w:val="en-US" w:eastAsia="zh-CN"/>
        </w:rPr>
        <w:t xml:space="preserve">6011415 </w:t>
      </w:r>
    </w:p>
    <w:p>
      <w:pPr>
        <w:ind w:firstLine="1540" w:firstLineChars="700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0"/>
          <w:sz w:val="22"/>
          <w:szCs w:val="22"/>
          <w:shd w:val="clear" w:fill="FFFFFF"/>
          <w:lang w:val="en-US" w:eastAsia="zh-CN"/>
        </w:rPr>
        <w:t>0993-6021002</w:t>
      </w:r>
    </w:p>
    <w:p>
      <w:pP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0"/>
          <w:sz w:val="22"/>
          <w:szCs w:val="22"/>
          <w:shd w:val="clear" w:fill="FFFFFF"/>
          <w:lang w:val="en-US" w:eastAsia="zh-CN"/>
        </w:rPr>
        <w:t>咨询网址：</w:t>
      </w:r>
    </w:p>
    <w:p>
      <w:pPr>
        <w:ind w:left="0" w:leftChars="0" w:firstLine="0" w:firstLineChars="0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0"/>
          <w:sz w:val="22"/>
          <w:szCs w:val="22"/>
          <w:shd w:val="clear" w:fill="FFFFFF"/>
          <w:lang w:val="en-US" w:eastAsia="zh-CN"/>
        </w:rPr>
        <w:t>新疆政务服务网（https://zwfw.xinjiang.gov.cn）</w:t>
      </w:r>
    </w:p>
    <w:p>
      <w:pPr>
        <w:numPr>
          <w:ilvl w:val="0"/>
          <w:numId w:val="0"/>
        </w:numPr>
        <w:rPr>
          <w:rFonts w:hint="eastAsia" w:ascii="楷体_GB2312" w:hAnsi="楷体_GB2312" w:eastAsia="楷体_GB2312" w:cs="楷体_GB2312"/>
          <w:b/>
          <w:bCs/>
          <w:color w:val="auto"/>
          <w:sz w:val="28"/>
          <w:szCs w:val="18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28"/>
          <w:szCs w:val="18"/>
          <w:lang w:val="en-US" w:eastAsia="zh-CN"/>
        </w:rPr>
        <w:t>九、监督投诉渠道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64" w:firstLineChars="200"/>
        <w:textAlignment w:val="baseline"/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投诉电话：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12329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64" w:firstLineChars="200"/>
        <w:textAlignment w:val="baseline"/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FF0000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管理部座机：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0"/>
          <w:sz w:val="22"/>
          <w:szCs w:val="22"/>
          <w:shd w:val="clear" w:fill="FFFFFF"/>
          <w:lang w:val="en-US" w:eastAsia="zh-CN"/>
        </w:rPr>
        <w:t>0993-6011416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64" w:firstLineChars="200"/>
        <w:textAlignment w:val="baseline"/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政务服务监督投诉电话：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12345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 xml:space="preserve"> </w:t>
      </w:r>
    </w:p>
    <w:p>
      <w:pPr>
        <w:pStyle w:val="2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楷体_GB2312" w:hAnsi="楷体_GB2312" w:eastAsia="楷体_GB2312" w:cs="楷体_GB2312"/>
          <w:b/>
          <w:bCs/>
          <w:color w:val="auto"/>
          <w:sz w:val="28"/>
          <w:szCs w:val="18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28"/>
          <w:szCs w:val="18"/>
          <w:lang w:val="en-US" w:eastAsia="zh-CN"/>
        </w:rPr>
        <w:t>十、办理流程</w:t>
      </w:r>
    </w:p>
    <w:p>
      <w:pPr>
        <w:numPr>
          <w:ilvl w:val="0"/>
          <w:numId w:val="0"/>
        </w:numPr>
        <w:ind w:firstLine="464" w:firstLineChars="200"/>
        <w:rPr>
          <w:rFonts w:hint="default" w:ascii="方正仿宋_GB2312" w:hAnsi="方正仿宋_GB2312" w:eastAsia="方正仿宋_GB2312" w:cs="方正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受理→审批→签约→抵押→发放</w:t>
      </w:r>
    </w:p>
    <w:p>
      <w:pPr>
        <w:spacing w:line="240" w:lineRule="auto"/>
        <w:ind w:left="0" w:leftChars="0" w:firstLine="0" w:firstLineChars="0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20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20"/>
          <w:u w:val="none"/>
          <w:lang w:val="en-US" w:eastAsia="zh-CN"/>
        </w:rPr>
        <w:drawing>
          <wp:inline distT="0" distB="0" distL="114300" distR="114300">
            <wp:extent cx="3319780" cy="5546090"/>
            <wp:effectExtent l="0" t="0" r="13970" b="16510"/>
            <wp:docPr id="1" name="图片 1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19780" cy="5546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ind w:left="0" w:leftChars="0" w:firstLine="0" w:firstLineChars="0"/>
        <w:rPr>
          <w:color w:val="auto"/>
        </w:rPr>
      </w:pPr>
    </w:p>
    <w:sectPr>
      <w:type w:val="continuous"/>
      <w:pgSz w:w="16838" w:h="11906" w:orient="landscape"/>
      <w:pgMar w:top="850" w:right="283" w:bottom="850" w:left="283" w:header="851" w:footer="992" w:gutter="0"/>
      <w:pgNumType w:fmt="decimal"/>
      <w:cols w:equalWidth="0" w:num="3">
        <w:col w:w="5235" w:space="425"/>
        <w:col w:w="4951" w:space="425"/>
        <w:col w:w="5235"/>
      </w:cols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  <w:embedRegular r:id="rId1" w:fontKey="{AFF3B218-B217-40F6-A3CA-749E79631145}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0" w:usb1="00000000" w:usb2="00000000" w:usb3="00000000" w:csb0="00000000" w:csb1="00000000"/>
    <w:embedRegular r:id="rId2" w:fontKey="{32833485-D98C-46DE-B19E-9E39E5F172E1}"/>
  </w:font>
  <w:font w:name="方正小标宋_GBK">
    <w:panose1 w:val="03000509000000000000"/>
    <w:charset w:val="86"/>
    <w:family w:val="auto"/>
    <w:pitch w:val="default"/>
    <w:sig w:usb0="00000000" w:usb1="00000000" w:usb2="00000000" w:usb3="00000000" w:csb0="00000000" w:csb1="00000000"/>
    <w:embedRegular r:id="rId3" w:fontKey="{8BFE3805-50EE-407F-B587-596EBBB98493}"/>
  </w:font>
  <w:font w:name="方正仿宋_GB2312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4" w:fontKey="{41805117-002B-4E3F-993C-99C99BDD82C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B52F5FC"/>
    <w:multiLevelType w:val="singleLevel"/>
    <w:tmpl w:val="9B52F5F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5F6911"/>
    <w:rsid w:val="01610698"/>
    <w:rsid w:val="016742F3"/>
    <w:rsid w:val="01902A0A"/>
    <w:rsid w:val="036A76D5"/>
    <w:rsid w:val="037B7501"/>
    <w:rsid w:val="04045953"/>
    <w:rsid w:val="042C1A95"/>
    <w:rsid w:val="04C0668E"/>
    <w:rsid w:val="04FF3EA7"/>
    <w:rsid w:val="06731FD5"/>
    <w:rsid w:val="06EA5F78"/>
    <w:rsid w:val="071321F1"/>
    <w:rsid w:val="09047DDC"/>
    <w:rsid w:val="0951747C"/>
    <w:rsid w:val="0970796B"/>
    <w:rsid w:val="09771A17"/>
    <w:rsid w:val="0A7F4F9E"/>
    <w:rsid w:val="0A9548E2"/>
    <w:rsid w:val="0B016571"/>
    <w:rsid w:val="0B4B1D7C"/>
    <w:rsid w:val="0B625E6C"/>
    <w:rsid w:val="0B8E5A9E"/>
    <w:rsid w:val="0BAF092B"/>
    <w:rsid w:val="0C3C269F"/>
    <w:rsid w:val="0D295AF4"/>
    <w:rsid w:val="0D714D0D"/>
    <w:rsid w:val="0DBF548E"/>
    <w:rsid w:val="0E8459F0"/>
    <w:rsid w:val="0FC17644"/>
    <w:rsid w:val="0FF2793E"/>
    <w:rsid w:val="1489189C"/>
    <w:rsid w:val="154644D6"/>
    <w:rsid w:val="16391F72"/>
    <w:rsid w:val="17694217"/>
    <w:rsid w:val="181A6CCF"/>
    <w:rsid w:val="18674730"/>
    <w:rsid w:val="195B4077"/>
    <w:rsid w:val="19CD3DC2"/>
    <w:rsid w:val="1A377862"/>
    <w:rsid w:val="1A7002BF"/>
    <w:rsid w:val="1A955637"/>
    <w:rsid w:val="1B474B4B"/>
    <w:rsid w:val="1B743DF1"/>
    <w:rsid w:val="1C826654"/>
    <w:rsid w:val="1CE036FF"/>
    <w:rsid w:val="1EAB227B"/>
    <w:rsid w:val="1F4B62CC"/>
    <w:rsid w:val="211362E9"/>
    <w:rsid w:val="21950B12"/>
    <w:rsid w:val="22BE6C29"/>
    <w:rsid w:val="23031792"/>
    <w:rsid w:val="231344ED"/>
    <w:rsid w:val="24CD03D6"/>
    <w:rsid w:val="27052A0A"/>
    <w:rsid w:val="28E20216"/>
    <w:rsid w:val="29EC728B"/>
    <w:rsid w:val="2A5F6911"/>
    <w:rsid w:val="2A9E5487"/>
    <w:rsid w:val="2B1225D2"/>
    <w:rsid w:val="2CFF45C1"/>
    <w:rsid w:val="2DEA2363"/>
    <w:rsid w:val="2E1E2153"/>
    <w:rsid w:val="2EAB1AC3"/>
    <w:rsid w:val="31AA09D5"/>
    <w:rsid w:val="341666A9"/>
    <w:rsid w:val="3482262D"/>
    <w:rsid w:val="349D1FCD"/>
    <w:rsid w:val="358E69A9"/>
    <w:rsid w:val="37A47147"/>
    <w:rsid w:val="399E3EE9"/>
    <w:rsid w:val="39FC7BA1"/>
    <w:rsid w:val="3AC952D4"/>
    <w:rsid w:val="3AE97A51"/>
    <w:rsid w:val="3B731336"/>
    <w:rsid w:val="3C760D85"/>
    <w:rsid w:val="3DC35888"/>
    <w:rsid w:val="3DFB6996"/>
    <w:rsid w:val="40205035"/>
    <w:rsid w:val="40847DB5"/>
    <w:rsid w:val="40C22AE4"/>
    <w:rsid w:val="41905F01"/>
    <w:rsid w:val="41BE0090"/>
    <w:rsid w:val="4290005B"/>
    <w:rsid w:val="436A7FB0"/>
    <w:rsid w:val="43C7405A"/>
    <w:rsid w:val="44C32D63"/>
    <w:rsid w:val="450B1B19"/>
    <w:rsid w:val="47C17EDB"/>
    <w:rsid w:val="47EA0F51"/>
    <w:rsid w:val="484A2693"/>
    <w:rsid w:val="48E37112"/>
    <w:rsid w:val="490D3650"/>
    <w:rsid w:val="4950408C"/>
    <w:rsid w:val="4B632B7A"/>
    <w:rsid w:val="4CFF2554"/>
    <w:rsid w:val="4E7E10F5"/>
    <w:rsid w:val="512020BD"/>
    <w:rsid w:val="514316B2"/>
    <w:rsid w:val="52624B13"/>
    <w:rsid w:val="532077A8"/>
    <w:rsid w:val="5325609E"/>
    <w:rsid w:val="53436408"/>
    <w:rsid w:val="53C27066"/>
    <w:rsid w:val="55284534"/>
    <w:rsid w:val="555508CB"/>
    <w:rsid w:val="56D96C7F"/>
    <w:rsid w:val="575007FF"/>
    <w:rsid w:val="59FA061D"/>
    <w:rsid w:val="5AC6751F"/>
    <w:rsid w:val="5CC85BBF"/>
    <w:rsid w:val="5DB02987"/>
    <w:rsid w:val="5E5A6C70"/>
    <w:rsid w:val="5EDB6B99"/>
    <w:rsid w:val="5F6048C3"/>
    <w:rsid w:val="61A25DDE"/>
    <w:rsid w:val="61E80990"/>
    <w:rsid w:val="61F6229C"/>
    <w:rsid w:val="62BA0D8D"/>
    <w:rsid w:val="63A22B78"/>
    <w:rsid w:val="64526B09"/>
    <w:rsid w:val="650E6875"/>
    <w:rsid w:val="65556D53"/>
    <w:rsid w:val="65CE67F5"/>
    <w:rsid w:val="66340AF4"/>
    <w:rsid w:val="666D6223"/>
    <w:rsid w:val="67722C8C"/>
    <w:rsid w:val="6A7F14F1"/>
    <w:rsid w:val="6AC069A8"/>
    <w:rsid w:val="6AFF42F1"/>
    <w:rsid w:val="6B717D87"/>
    <w:rsid w:val="6BD07BAD"/>
    <w:rsid w:val="6DB92EB5"/>
    <w:rsid w:val="6F1C3BBB"/>
    <w:rsid w:val="6F262639"/>
    <w:rsid w:val="70344A33"/>
    <w:rsid w:val="70BE1C09"/>
    <w:rsid w:val="71807B2A"/>
    <w:rsid w:val="732173B9"/>
    <w:rsid w:val="73EA03B3"/>
    <w:rsid w:val="74363621"/>
    <w:rsid w:val="744B2FB1"/>
    <w:rsid w:val="751B6142"/>
    <w:rsid w:val="76A44D3C"/>
    <w:rsid w:val="76B10F9B"/>
    <w:rsid w:val="78F17E96"/>
    <w:rsid w:val="79832DAC"/>
    <w:rsid w:val="7A951B3B"/>
    <w:rsid w:val="7AB62FDB"/>
    <w:rsid w:val="7B23342F"/>
    <w:rsid w:val="7D3B38AD"/>
    <w:rsid w:val="7D89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beforeLines="0" w:afterLines="0" w:line="520" w:lineRule="exact"/>
      <w:ind w:firstLine="420" w:firstLineChars="200"/>
      <w:textAlignment w:val="baseline"/>
    </w:pPr>
    <w:rPr>
      <w:rFonts w:hint="default" w:ascii="Times New Roman" w:hAnsi="Times New Roman" w:eastAsia="仿宋_GB2312" w:cstheme="minorBidi"/>
      <w:snapToGrid w:val="0"/>
      <w:color w:val="000000"/>
      <w:sz w:val="32"/>
    </w:rPr>
  </w:style>
  <w:style w:type="paragraph" w:styleId="3">
    <w:name w:val="heading 1"/>
    <w:basedOn w:val="1"/>
    <w:next w:val="1"/>
    <w:link w:val="12"/>
    <w:qFormat/>
    <w:uiPriority w:val="0"/>
    <w:pPr>
      <w:keepNext/>
      <w:keepLines/>
      <w:spacing w:before="100" w:beforeLines="0" w:beforeAutospacing="0" w:after="100" w:afterLines="0" w:afterAutospacing="0" w:line="520" w:lineRule="exact"/>
      <w:ind w:firstLine="0" w:firstLineChars="0"/>
      <w:jc w:val="center"/>
      <w:outlineLvl w:val="0"/>
    </w:pPr>
    <w:rPr>
      <w:rFonts w:ascii="Times New Roman" w:hAnsi="Times New Roman" w:eastAsia="方正小标宋简体" w:cstheme="minorBidi"/>
      <w:kern w:val="44"/>
      <w:sz w:val="44"/>
    </w:rPr>
  </w:style>
  <w:style w:type="paragraph" w:styleId="4">
    <w:name w:val="heading 2"/>
    <w:basedOn w:val="1"/>
    <w:next w:val="1"/>
    <w:link w:val="11"/>
    <w:semiHidden/>
    <w:unhideWhenUsed/>
    <w:qFormat/>
    <w:uiPriority w:val="0"/>
    <w:pPr>
      <w:spacing w:before="50" w:beforeLines="50" w:beforeAutospacing="0" w:after="50" w:afterLines="50" w:afterAutospacing="0" w:line="520" w:lineRule="exact"/>
      <w:ind w:firstLine="723" w:firstLineChars="200"/>
      <w:jc w:val="left"/>
      <w:outlineLvl w:val="1"/>
    </w:pPr>
    <w:rPr>
      <w:rFonts w:hint="eastAsia" w:ascii="Times New Roman" w:hAnsi="Times New Roman" w:eastAsia="黑体" w:cs="宋体"/>
      <w:sz w:val="32"/>
      <w:szCs w:val="36"/>
      <w:lang w:val="en-US" w:eastAsia="zh-CN" w:bidi="ar"/>
    </w:rPr>
  </w:style>
  <w:style w:type="paragraph" w:styleId="2">
    <w:name w:val="heading 3"/>
    <w:basedOn w:val="1"/>
    <w:next w:val="1"/>
    <w:link w:val="13"/>
    <w:semiHidden/>
    <w:unhideWhenUsed/>
    <w:qFormat/>
    <w:uiPriority w:val="0"/>
    <w:pPr>
      <w:keepNext/>
      <w:keepLines/>
      <w:spacing w:before="100" w:beforeLines="0" w:beforeAutospacing="0" w:after="100" w:afterLines="0" w:afterAutospacing="0" w:line="520" w:lineRule="exact"/>
      <w:ind w:firstLine="936" w:firstLineChars="200"/>
      <w:outlineLvl w:val="2"/>
    </w:pPr>
    <w:rPr>
      <w:rFonts w:eastAsia="楷体_GB2312"/>
      <w:b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10" w:beforeLines="0" w:beforeAutospacing="0" w:after="10" w:afterLines="0" w:afterAutospacing="0" w:line="520" w:lineRule="exact"/>
      <w:outlineLvl w:val="3"/>
    </w:pPr>
    <w:rPr>
      <w:rFonts w:ascii="Arial" w:hAnsi="Arial"/>
      <w:b/>
      <w:sz w:val="30"/>
    </w:rPr>
  </w:style>
  <w:style w:type="character" w:default="1" w:styleId="9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 First Indent"/>
    <w:basedOn w:val="7"/>
    <w:qFormat/>
    <w:uiPriority w:val="0"/>
    <w:pPr>
      <w:ind w:firstLine="420" w:firstLineChars="100"/>
    </w:pPr>
  </w:style>
  <w:style w:type="paragraph" w:styleId="7">
    <w:name w:val="Body Text"/>
    <w:basedOn w:val="1"/>
    <w:qFormat/>
    <w:uiPriority w:val="0"/>
    <w:pPr>
      <w:spacing w:after="120" w:afterLines="0" w:afterAutospacing="0"/>
    </w:pPr>
  </w:style>
  <w:style w:type="paragraph" w:styleId="8">
    <w:name w:val="Block Text"/>
    <w:basedOn w:val="1"/>
    <w:qFormat/>
    <w:uiPriority w:val="0"/>
    <w:pPr>
      <w:spacing w:after="120" w:afterLines="0" w:afterAutospacing="0"/>
      <w:ind w:left="1440" w:leftChars="700" w:rightChars="700"/>
    </w:pPr>
  </w:style>
  <w:style w:type="character" w:customStyle="1" w:styleId="11">
    <w:name w:val="标题 2 Char"/>
    <w:link w:val="4"/>
    <w:qFormat/>
    <w:uiPriority w:val="0"/>
    <w:rPr>
      <w:rFonts w:hint="eastAsia" w:ascii="Times New Roman" w:hAnsi="Times New Roman" w:eastAsia="黑体" w:cs="宋体"/>
      <w:kern w:val="0"/>
      <w:sz w:val="32"/>
      <w:szCs w:val="36"/>
      <w:lang w:val="en-US" w:eastAsia="zh-CN" w:bidi="ar"/>
    </w:rPr>
  </w:style>
  <w:style w:type="character" w:customStyle="1" w:styleId="12">
    <w:name w:val="标题 1 Char"/>
    <w:link w:val="3"/>
    <w:qFormat/>
    <w:uiPriority w:val="0"/>
    <w:rPr>
      <w:rFonts w:ascii="Times New Roman" w:hAnsi="Times New Roman" w:eastAsia="方正小标宋简体" w:cstheme="minorBidi"/>
      <w:kern w:val="44"/>
      <w:sz w:val="44"/>
    </w:rPr>
  </w:style>
  <w:style w:type="character" w:customStyle="1" w:styleId="13">
    <w:name w:val="标题 3 Char"/>
    <w:link w:val="2"/>
    <w:qFormat/>
    <w:uiPriority w:val="0"/>
    <w:rPr>
      <w:rFonts w:eastAsia="楷体_GB2312"/>
      <w:b/>
    </w:rPr>
  </w:style>
  <w:style w:type="paragraph" w:customStyle="1" w:styleId="14">
    <w:name w:val="文章标题"/>
    <w:basedOn w:val="3"/>
    <w:next w:val="1"/>
    <w:qFormat/>
    <w:uiPriority w:val="0"/>
    <w:pPr>
      <w:spacing w:before="200" w:after="200" w:line="520" w:lineRule="exact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2023-02-27T03:14:00Z</dcterms:created>
  <dc:creator>Zauren</dc:creator>
  <cp:lastModifiedBy>Administrator</cp:lastModifiedBy>
  <cp:lastPrinted>2023-03-03T05:07:00Z</cp:lastPrinted>
  <dcterms:modified xsi:type="dcterms:W3CDTF">2024-04-26T09:33:36Z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