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lang w:val="en-US" w:eastAsia="zh-CN"/>
        </w:rPr>
        <w:t xml:space="preserve">沙 湾 市 </w:t>
      </w:r>
      <w:r>
        <w:rPr>
          <w:rFonts w:hint="eastAsia" w:ascii="方正小标宋_GBK" w:hAnsi="方正小标宋_GBK" w:eastAsia="方正小标宋_GBK" w:cs="方正小标宋_GBK"/>
          <w:color w:val="auto"/>
          <w:lang w:val="en-US" w:eastAsia="zh-CN"/>
        </w:rPr>
        <w:t>政 务 服 务 中 心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52"/>
          <w:szCs w:val="32"/>
          <w:lang w:val="en-US" w:eastAsia="zh-CN"/>
        </w:rPr>
        <w:t>办 事 指 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塔城地区住房公积金管理中心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1600" w:firstLineChars="5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32"/>
          <w:szCs w:val="32"/>
          <w:lang w:val="en-US" w:eastAsia="zh-CN"/>
        </w:rPr>
        <w:t>沙湾市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管理部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21"/>
          <w:u w:val="single"/>
          <w:lang w:val="en-US" w:eastAsia="zh-CN"/>
        </w:rPr>
        <w:t xml:space="preserve">                             </w:t>
      </w:r>
    </w:p>
    <w:p>
      <w:pPr>
        <w:ind w:firstLine="1175" w:firstLineChars="30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auto"/>
          <w:spacing w:val="0"/>
          <w:sz w:val="39"/>
          <w:szCs w:val="39"/>
          <w:shd w:val="clear" w:fill="FFFFFF"/>
          <w:lang w:val="en-US" w:eastAsia="zh-CN"/>
        </w:rPr>
        <w:t>异地新建房贷款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受理条件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缴存人购买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地新建自住住房，向住房公积金管理中心申请住房公积金个人住房贷款。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具有完全民事行为能力，信用良好、收入稳定，有偿还贷款本息的能力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.至少在申请贷款前6个月连续逐月足额正常缴存住房公积金，异地缴存时间应合并计算。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.借款申请人为购房人。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.没有尚未还清的数额较大、可能影响贷款偿还能力的债务。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.未超过法定退休年龄。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.有合法的购买住房合同、协议以及有关部门批准的证明文件。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.购买自住住房的，应已支付不低于规定比例的首期购房款。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.购买普通自住住房原则上在取得备案登记的购房合同（协议）、确权日期之日起一年内提出申请。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.具有管理中心认可的担保方式，同意管理中心规定的贷款偿还方式。</w:t>
      </w:r>
    </w:p>
    <w:p>
      <w:pPr>
        <w:pStyle w:val="2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80" w:lineRule="exact"/>
        <w:ind w:leftChars="0"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.自结清首次住房公积金个人住房贷款的次月起，可再次申请住房公积金个人住房贷款。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二、办理材料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1.借款人夫妻双方身份证原件； 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2.婚姻状况证明原件；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3.借款人工资卡原件；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在异地管理中心缴存的借款人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或借款人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配偶应提供近6个月缴存流水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异地贷款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证明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通过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公积金综合业务系统能够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直接查询到的可不提供；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借款人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</w:rPr>
        <w:t>配偶未缴存住房公积金的，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eastAsia="zh-CN"/>
        </w:rPr>
        <w:t>提供能够反映其真实收入的有效证明材料；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5.购买住房合同原件；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6.首付款收据或购房增值税发票原件及复印件；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7.契税完税证明原件及复印件；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8.用所购房产抵押的，房地产开发企业需与管理中心签订《住房公积金个人住房贷款阶段性担保协议》；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9.抵押房产的《不动产权证书》原件及复印件，如用第三人房产抵押，还需提供抵押人及配偶身份证、结婚证原件，抵押房产评估报告原件；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435" w:leftChars="136" w:firstLine="0" w:firstLineChars="0"/>
        <w:textAlignment w:val="baseline"/>
        <w:rPr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auto"/>
          <w:spacing w:val="0"/>
          <w:sz w:val="22"/>
          <w:szCs w:val="22"/>
          <w:shd w:val="clear" w:fill="FFFFFF"/>
          <w:lang w:val="en-US" w:eastAsia="zh-CN"/>
        </w:rPr>
        <w:t>10.借款人及配偶近一个月内的个人征信报告；                                                                                                                                11.住房公积金中心要求提供的其他资料。</w:t>
      </w:r>
    </w:p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三、办理方式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2"/>
          <w:szCs w:val="22"/>
          <w:shd w:val="clear" w:fill="FFFFFF"/>
        </w:rPr>
        <w:t>窗口办理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2"/>
          <w:szCs w:val="22"/>
          <w:shd w:val="clear" w:fill="FFFFFF"/>
        </w:rPr>
        <w:t>网上办理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、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22"/>
          <w:szCs w:val="22"/>
          <w:shd w:val="clear" w:fill="FFFFFF"/>
        </w:rPr>
        <w:t>快递申请</w:t>
      </w:r>
    </w:p>
    <w:p>
      <w:pPr>
        <w:pStyle w:val="2"/>
        <w:rPr>
          <w:rFonts w:hint="eastAsia" w:ascii="楷体_GB2312" w:hAnsi="楷体_GB2312" w:eastAsia="楷体_GB2312" w:cs="楷体_GB231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四、办理时限</w:t>
      </w:r>
    </w:p>
    <w:p>
      <w:pPr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法定时限：15</w:t>
      </w:r>
      <w:r>
        <w:rPr>
          <w:rFonts w:hint="eastAsia" w:ascii="仿宋_GB2312" w:hAnsi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（工作日）</w:t>
      </w:r>
    </w:p>
    <w:p>
      <w:pPr>
        <w:pStyle w:val="2"/>
        <w:ind w:left="0"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承诺时间：8 </w:t>
      </w:r>
      <w:r>
        <w:rPr>
          <w:rFonts w:hint="eastAsia" w:ascii="仿宋_GB2312" w:hAnsi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（工作日）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五、收费依据及标准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不收费</w:t>
      </w: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六、办事时间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周一至周五 双休日及法定节假日除外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夏季：上午 10:00至14:00 下午16:00至20:00 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2"/>
          <w:szCs w:val="22"/>
          <w:u w:val="none"/>
          <w:lang w:val="en-US" w:eastAsia="zh-CN"/>
        </w:rPr>
        <w:t>冬季：上午 10:00至14:00 下午16:00至20:00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u w:val="none"/>
          <w:lang w:val="en-US" w:eastAsia="zh-CN"/>
        </w:rPr>
        <w:t>七、办理机构及地点</w:t>
      </w:r>
    </w:p>
    <w:p>
      <w:pPr>
        <w:numPr>
          <w:ilvl w:val="0"/>
          <w:numId w:val="0"/>
        </w:numPr>
        <w:ind w:leftChars="0" w:firstLine="44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办理机构：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塔城地区住房公积金管理中心</w:t>
      </w:r>
      <w:r>
        <w:rPr>
          <w:rFonts w:hint="eastAsia" w:ascii="仿宋_GB2312" w:hAnsi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市管理部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2"/>
          <w:szCs w:val="22"/>
          <w:u w:val="none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新疆维吾尔自治区塔城地区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沙湾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市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书香街道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城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东社区智慧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大道东路1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号政服务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中心一楼C01-C04住房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公积金窗口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。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21"/>
          <w:lang w:val="en-US" w:eastAsia="zh-CN"/>
        </w:rPr>
        <w:t>八、咨询查询途径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12329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09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 xml:space="preserve">6011415 </w:t>
      </w:r>
    </w:p>
    <w:p>
      <w:pPr>
        <w:pStyle w:val="2"/>
        <w:numPr>
          <w:ilvl w:val="0"/>
          <w:numId w:val="0"/>
        </w:numPr>
        <w:ind w:firstLine="1540" w:firstLineChars="700"/>
        <w:rPr>
          <w:rFonts w:hint="default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0993-6021002</w:t>
      </w:r>
    </w:p>
    <w:p>
      <w:pPr>
        <w:pStyle w:val="2"/>
        <w:numPr>
          <w:ilvl w:val="0"/>
          <w:numId w:val="0"/>
        </w:numPr>
        <w:ind w:firstLine="4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咨询网址：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新疆政务服务网（https://zwfw.xinjiang.gov.cn）</w:t>
      </w:r>
    </w:p>
    <w:p>
      <w:pPr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  <w:t>九、监督投诉渠道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投诉电话：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管理部座机：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0"/>
          <w:sz w:val="22"/>
          <w:szCs w:val="22"/>
          <w:shd w:val="clear" w:fill="FFFFFF"/>
          <w:lang w:val="en-US" w:eastAsia="zh-CN"/>
        </w:rPr>
        <w:t>0993-6011416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64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政务服务监督投诉电话：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>12345</w:t>
      </w:r>
      <w:r>
        <w:rPr>
          <w:rFonts w:hint="eastAsia" w:ascii="仿宋_GB2312" w:hAnsi="仿宋_GB2312" w:cs="仿宋_GB2312"/>
          <w:b w:val="0"/>
          <w:bCs/>
          <w:i w:val="0"/>
          <w:caps w:val="0"/>
          <w:snapToGrid w:val="0"/>
          <w:color w:val="FF0000"/>
          <w:spacing w:val="6"/>
          <w:sz w:val="22"/>
          <w:szCs w:val="22"/>
          <w:shd w:val="clear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8"/>
          <w:szCs w:val="18"/>
          <w:lang w:val="en-US" w:eastAsia="zh-CN"/>
        </w:rPr>
        <w:t>十、办理流程</w:t>
      </w:r>
    </w:p>
    <w:p>
      <w:pPr>
        <w:numPr>
          <w:ilvl w:val="0"/>
          <w:numId w:val="0"/>
        </w:numPr>
        <w:ind w:firstLine="464" w:firstLineChars="200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napToGrid w:val="0"/>
          <w:color w:val="333333"/>
          <w:spacing w:val="6"/>
          <w:sz w:val="22"/>
          <w:szCs w:val="22"/>
          <w:shd w:val="clear" w:fill="FFFFFF"/>
          <w:lang w:val="en-US" w:eastAsia="zh-CN"/>
        </w:rPr>
        <w:t>受理→审批→签约→抵押→发放</w:t>
      </w:r>
    </w:p>
    <w:p>
      <w:pPr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20"/>
          <w:u w:val="none"/>
          <w:lang w:val="en-US" w:eastAsia="zh-CN"/>
        </w:rPr>
        <w:drawing>
          <wp:inline distT="0" distB="0" distL="114300" distR="114300">
            <wp:extent cx="3319780" cy="5123180"/>
            <wp:effectExtent l="0" t="0" r="13970" b="1270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sectPr>
      <w:type w:val="continuous"/>
      <w:pgSz w:w="16838" w:h="11906" w:orient="landscape"/>
      <w:pgMar w:top="850" w:right="283" w:bottom="850" w:left="283" w:header="851" w:footer="992" w:gutter="0"/>
      <w:pgNumType w:fmt="decimal"/>
      <w:cols w:equalWidth="0" w:num="3">
        <w:col w:w="5235" w:space="425"/>
        <w:col w:w="4951" w:space="425"/>
        <w:col w:w="5235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E556BDB1-A10F-418F-8B06-D29730048FAB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77AEA18C-F640-4CA9-9728-8568D0109BF4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A481B75C-32B4-463B-A3FE-F3DB089587EC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32390715-6ABD-44EB-90F1-6316216F43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2F5FC"/>
    <w:multiLevelType w:val="singleLevel"/>
    <w:tmpl w:val="9B52F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1610698"/>
    <w:rsid w:val="01902A0A"/>
    <w:rsid w:val="036A76D5"/>
    <w:rsid w:val="037B7501"/>
    <w:rsid w:val="042C1A95"/>
    <w:rsid w:val="04754C1B"/>
    <w:rsid w:val="04C0668E"/>
    <w:rsid w:val="04FF3EA7"/>
    <w:rsid w:val="06731FD5"/>
    <w:rsid w:val="06EA5F78"/>
    <w:rsid w:val="071321F1"/>
    <w:rsid w:val="073C168A"/>
    <w:rsid w:val="09047DDC"/>
    <w:rsid w:val="09771A17"/>
    <w:rsid w:val="0A9548E2"/>
    <w:rsid w:val="0B016571"/>
    <w:rsid w:val="0B3D6537"/>
    <w:rsid w:val="0B4B1D7C"/>
    <w:rsid w:val="0B625E6C"/>
    <w:rsid w:val="0B8E5A9E"/>
    <w:rsid w:val="0BAF092B"/>
    <w:rsid w:val="0C3C269F"/>
    <w:rsid w:val="0D295AF4"/>
    <w:rsid w:val="0D714D0D"/>
    <w:rsid w:val="0DBF548E"/>
    <w:rsid w:val="0E387ECF"/>
    <w:rsid w:val="0EA32A6E"/>
    <w:rsid w:val="0FC17644"/>
    <w:rsid w:val="0FF2793E"/>
    <w:rsid w:val="133A438B"/>
    <w:rsid w:val="135144C1"/>
    <w:rsid w:val="15315A2F"/>
    <w:rsid w:val="16391F72"/>
    <w:rsid w:val="18674730"/>
    <w:rsid w:val="195B4077"/>
    <w:rsid w:val="1A377862"/>
    <w:rsid w:val="1A7002BF"/>
    <w:rsid w:val="1A955637"/>
    <w:rsid w:val="1B474B4B"/>
    <w:rsid w:val="1B743DF1"/>
    <w:rsid w:val="1CE036FF"/>
    <w:rsid w:val="1E3B293A"/>
    <w:rsid w:val="1F4B62CC"/>
    <w:rsid w:val="211362E9"/>
    <w:rsid w:val="211C0850"/>
    <w:rsid w:val="21950B12"/>
    <w:rsid w:val="229D337A"/>
    <w:rsid w:val="22BE6C29"/>
    <w:rsid w:val="242823F9"/>
    <w:rsid w:val="245528F9"/>
    <w:rsid w:val="24CD03D6"/>
    <w:rsid w:val="29111DEF"/>
    <w:rsid w:val="29C15DBB"/>
    <w:rsid w:val="29EC728B"/>
    <w:rsid w:val="2A5F6911"/>
    <w:rsid w:val="2B1225D2"/>
    <w:rsid w:val="2CFF45C1"/>
    <w:rsid w:val="2DEA2363"/>
    <w:rsid w:val="2E4B625A"/>
    <w:rsid w:val="2EAB1AC3"/>
    <w:rsid w:val="2EE83EE9"/>
    <w:rsid w:val="341666A9"/>
    <w:rsid w:val="3482262D"/>
    <w:rsid w:val="349D1FCD"/>
    <w:rsid w:val="36B86809"/>
    <w:rsid w:val="370E5391"/>
    <w:rsid w:val="37A47147"/>
    <w:rsid w:val="39FC7BA1"/>
    <w:rsid w:val="3AC952D4"/>
    <w:rsid w:val="3AE97A51"/>
    <w:rsid w:val="3B731336"/>
    <w:rsid w:val="3C760D85"/>
    <w:rsid w:val="3DC35888"/>
    <w:rsid w:val="3DFB6996"/>
    <w:rsid w:val="3F64489A"/>
    <w:rsid w:val="3FDE686F"/>
    <w:rsid w:val="40C22AE4"/>
    <w:rsid w:val="410A0B20"/>
    <w:rsid w:val="41905F01"/>
    <w:rsid w:val="41BE0090"/>
    <w:rsid w:val="42C1346B"/>
    <w:rsid w:val="436A7FB0"/>
    <w:rsid w:val="43C7405A"/>
    <w:rsid w:val="447D6C3A"/>
    <w:rsid w:val="450B1B19"/>
    <w:rsid w:val="47EA0F51"/>
    <w:rsid w:val="4950408C"/>
    <w:rsid w:val="4AE7410B"/>
    <w:rsid w:val="4B632B7A"/>
    <w:rsid w:val="4C4E5C48"/>
    <w:rsid w:val="4CCC66FD"/>
    <w:rsid w:val="4FFD6179"/>
    <w:rsid w:val="50B2577E"/>
    <w:rsid w:val="514316B2"/>
    <w:rsid w:val="532077A8"/>
    <w:rsid w:val="53300FA4"/>
    <w:rsid w:val="53436408"/>
    <w:rsid w:val="54F22BB9"/>
    <w:rsid w:val="55284534"/>
    <w:rsid w:val="555508CB"/>
    <w:rsid w:val="575007FF"/>
    <w:rsid w:val="58C8436B"/>
    <w:rsid w:val="59FA061D"/>
    <w:rsid w:val="5AC6751F"/>
    <w:rsid w:val="5CC85BBF"/>
    <w:rsid w:val="5CED7289"/>
    <w:rsid w:val="5D736F29"/>
    <w:rsid w:val="5DB02987"/>
    <w:rsid w:val="5DEA05BB"/>
    <w:rsid w:val="5EDB6B99"/>
    <w:rsid w:val="5EF27307"/>
    <w:rsid w:val="5F6048C3"/>
    <w:rsid w:val="5F9869FD"/>
    <w:rsid w:val="616F7426"/>
    <w:rsid w:val="61A25DDE"/>
    <w:rsid w:val="61E80990"/>
    <w:rsid w:val="61F6229C"/>
    <w:rsid w:val="62BA0D8D"/>
    <w:rsid w:val="63A22B78"/>
    <w:rsid w:val="650E6875"/>
    <w:rsid w:val="65CE67F5"/>
    <w:rsid w:val="66340AF4"/>
    <w:rsid w:val="666D6223"/>
    <w:rsid w:val="67722C8C"/>
    <w:rsid w:val="68E124FE"/>
    <w:rsid w:val="69810554"/>
    <w:rsid w:val="6A7F14F1"/>
    <w:rsid w:val="6AFF42F1"/>
    <w:rsid w:val="6BD07BAD"/>
    <w:rsid w:val="6DB92EB5"/>
    <w:rsid w:val="6F1C3BBB"/>
    <w:rsid w:val="6F1F5649"/>
    <w:rsid w:val="6F262639"/>
    <w:rsid w:val="70BE1C09"/>
    <w:rsid w:val="712E31C8"/>
    <w:rsid w:val="732173B9"/>
    <w:rsid w:val="74363621"/>
    <w:rsid w:val="751B6142"/>
    <w:rsid w:val="75477DDD"/>
    <w:rsid w:val="76A44D3C"/>
    <w:rsid w:val="76B10F9B"/>
    <w:rsid w:val="78F17E96"/>
    <w:rsid w:val="79832DAC"/>
    <w:rsid w:val="7A951B3B"/>
    <w:rsid w:val="7AB62FDB"/>
    <w:rsid w:val="7D3B38AD"/>
    <w:rsid w:val="7D897C4D"/>
    <w:rsid w:val="7EE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Lines="0" w:afterLines="0" w:line="520" w:lineRule="exact"/>
      <w:ind w:firstLine="420" w:firstLineChars="200"/>
      <w:textAlignment w:val="baseline"/>
    </w:pPr>
    <w:rPr>
      <w:rFonts w:hint="default" w:ascii="Times New Roman" w:hAnsi="Times New Roman" w:eastAsia="仿宋_GB2312" w:cstheme="minorBidi"/>
      <w:snapToGrid w:val="0"/>
      <w:color w:val="000000"/>
      <w:sz w:val="32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spacing w:before="50" w:beforeLines="50" w:beforeAutospacing="0" w:after="50" w:afterLines="50" w:afterAutospacing="0" w:line="520" w:lineRule="exact"/>
      <w:ind w:firstLine="723" w:firstLineChars="200"/>
      <w:jc w:val="left"/>
      <w:outlineLvl w:val="1"/>
    </w:pPr>
    <w:rPr>
      <w:rFonts w:hint="eastAsia" w:ascii="Times New Roman" w:hAnsi="Times New Roman" w:eastAsia="黑体" w:cs="宋体"/>
      <w:sz w:val="32"/>
      <w:szCs w:val="36"/>
      <w:lang w:val="en-US" w:eastAsia="zh-CN" w:bidi="ar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520" w:lineRule="exact"/>
      <w:ind w:firstLine="936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520" w:lineRule="exact"/>
      <w:outlineLvl w:val="3"/>
    </w:pPr>
    <w:rPr>
      <w:rFonts w:ascii="Arial" w:hAnsi="Arial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qFormat/>
    <w:uiPriority w:val="0"/>
    <w:pPr>
      <w:ind w:firstLine="420" w:firstLineChars="1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1">
    <w:name w:val="标题 2 Char"/>
    <w:link w:val="4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 w:bidi="ar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3">
    <w:name w:val="标题 3 Char"/>
    <w:link w:val="2"/>
    <w:qFormat/>
    <w:uiPriority w:val="0"/>
    <w:rPr>
      <w:rFonts w:eastAsia="楷体_GB2312"/>
      <w:b/>
    </w:rPr>
  </w:style>
  <w:style w:type="paragraph" w:customStyle="1" w:styleId="14">
    <w:name w:val="文章标题"/>
    <w:basedOn w:val="3"/>
    <w:next w:val="1"/>
    <w:qFormat/>
    <w:uiPriority w:val="0"/>
    <w:pPr>
      <w:spacing w:before="200" w:after="200" w:line="52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2023-03-03T05:07:00Z</cp:lastPrinted>
  <dcterms:modified xsi:type="dcterms:W3CDTF">2024-04-26T09:33:22Z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