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沙湾市柳毛湾镇人民政府</w:t>
      </w: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2023年单位预算公开</w:t>
      </w:r>
    </w:p>
    <w:p>
      <w:pPr>
        <w:widowControl/>
        <w:spacing w:before="100" w:beforeAutospacing="1" w:after="100" w:afterAutospacing="1"/>
        <w:jc w:val="center"/>
        <w:rPr>
          <w:rFonts w:ascii="方正小标宋_GBK" w:hAnsi="宋体" w:eastAsia="方正小标宋_GBK"/>
          <w:kern w:val="0"/>
          <w:sz w:val="44"/>
          <w:szCs w:val="44"/>
        </w:rPr>
      </w:pPr>
    </w:p>
    <w:p>
      <w:pPr>
        <w:widowControl/>
        <w:spacing w:line="440" w:lineRule="exact"/>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rPr>
          <w:rFonts w:ascii="黑体" w:hAnsi="黑体" w:eastAsia="黑体"/>
          <w:kern w:val="0"/>
          <w:sz w:val="36"/>
          <w:szCs w:val="32"/>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目录</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第一部分沙湾市柳毛湾镇人民政府概况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第二部分2023年沙湾市柳毛湾镇人民政府预算公开表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第三部分2023年沙湾市柳毛湾镇人民政府预算情况说明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一、关于沙湾市柳毛湾镇人民政府2023年收支预算情况的总体说明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二、关于沙湾市柳毛湾镇人民政府2023年收入预算情况说明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三、关于沙湾市柳毛湾镇人民政府2023年支出预算情况说明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四、关于沙湾市柳毛湾镇人民政府2023年财政拨款收支预算情况的总体说明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五、关于沙湾市柳毛湾镇人民政府2023年一般公共预算当年拨款情况说明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六、关于沙湾市柳毛湾镇人民政府2023年一般公共预算基本支出情况说明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七、关于沙湾市柳毛湾镇人民政府2023年一般公共预算项目支出情况说明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八、关于沙湾市柳毛湾镇人民政府2023年政府性基金预算拨款情况说明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九、关于沙湾市柳毛湾镇人民政府2023年国有资本经营预算拨款情况说明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十、关于沙湾市柳毛湾镇人民政府2023年财政拨款“三公”经费预算情况说明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rPr>
      </w:pPr>
      <w:r>
        <w:rPr>
          <w:rFonts w:hint="eastAsia" w:ascii="黑体" w:hAnsi="黑体" w:eastAsia="黑体"/>
          <w:kern w:val="0"/>
          <w:sz w:val="32"/>
          <w:szCs w:val="32"/>
        </w:rPr>
        <w:t>第一部分沙湾市柳毛湾镇人民政府概况</w:t>
      </w:r>
    </w:p>
    <w:p>
      <w:pPr>
        <w:widowControl/>
        <w:spacing w:line="540" w:lineRule="exact"/>
        <w:jc w:val="center"/>
        <w:rPr>
          <w:rFonts w:ascii="宋体" w:hAnsi="宋体"/>
          <w:b/>
          <w:kern w:val="0"/>
          <w:sz w:val="32"/>
          <w:szCs w:val="32"/>
        </w:rPr>
      </w:pP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柳毛湾镇党群服务中心(文体广电旅游服务中心)主要职责任务：为党的基层组织建设和党员队伍建设提供服务，组织开展辖区居民的宣传、发动、服务工作；为专项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柳毛湾镇农业(畜牧业)发展服务中心主要职责任务：主要负责农业、农机、林业、畜牧兽医、草原、水利等方面的服务工作；协助镇政府制定农业、农机、林业、畜牧兽医、草原、水利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柳毛湾镇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柳毛湾镇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柳毛湾镇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柳毛湾镇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br w:type="page"/>
      </w: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沙湾市柳毛湾镇人民政府无下属预算单位，下设0个处室，分别是：本部门无下设处室。</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沙湾市柳毛湾镇人民政府编制数84，实有人数94人，其中：在职76人，增加1人；退休18人，增加1人；离休0人，减少0人。</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widowControl/>
        <w:spacing w:line="440" w:lineRule="exact"/>
        <w:jc w:val="center"/>
        <w:outlineLvl w:val="0"/>
        <w:rPr>
          <w:rFonts w:ascii="黑体" w:hAnsi="黑体" w:eastAsia="黑体"/>
          <w:kern w:val="0"/>
          <w:sz w:val="32"/>
          <w:szCs w:val="32"/>
        </w:rPr>
      </w:pPr>
      <w:r>
        <w:rPr>
          <w:rFonts w:hint="eastAsia" w:ascii="黑体" w:hAnsi="黑体" w:eastAsia="黑体"/>
          <w:kern w:val="0"/>
          <w:sz w:val="32"/>
          <w:szCs w:val="32"/>
        </w:rPr>
        <w:t>第二部分2023年沙湾市柳毛湾镇人民政府预算公开表</w:t>
      </w:r>
    </w:p>
    <w:p>
      <w:pPr>
        <w:widowControl/>
        <w:spacing w:line="240" w:lineRule="exact"/>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p>
      <w:pPr>
        <w:widowControl/>
        <w:spacing w:line="280" w:lineRule="exact"/>
        <w:jc w:val="center"/>
        <w:rPr>
          <w:rFonts w:ascii="仿宋_GB2312" w:hAnsi="宋体" w:eastAsia="仿宋_GB2312"/>
          <w:b/>
          <w:kern w:val="0"/>
          <w:sz w:val="32"/>
          <w:szCs w:val="32"/>
        </w:rPr>
      </w:pPr>
    </w:p>
    <w:tbl>
      <w:tblPr>
        <w:tblStyle w:val="4"/>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编制单位:沙湾市柳毛湾镇人民政府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1975.98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1065.09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1455.90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1451.01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4.89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3.50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119.02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64.82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520.08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609.59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520.08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85.28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1975.98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6"/>
                <w:szCs w:val="16"/>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1975.98</w:t>
            </w:r>
          </w:p>
        </w:tc>
      </w:tr>
    </w:tbl>
    <w:p>
      <w:pPr>
        <w:widowControl/>
        <w:jc w:val="left"/>
        <w:textAlignment w:val="bottom"/>
        <w:rPr>
          <w:rFonts w:ascii="宋体" w:hAnsi="宋体" w:cs="宋体"/>
          <w:color w:val="000000"/>
          <w:kern w:val="0"/>
          <w:sz w:val="20"/>
          <w:szCs w:val="20"/>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单位收入总体情况表</w:t>
      </w:r>
    </w:p>
    <w:tbl>
      <w:tblPr>
        <w:tblStyle w:val="4"/>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rPr>
            </w:pPr>
            <w:r>
              <w:rPr>
                <w:rFonts w:hint="eastAsia" w:ascii="仿宋_GB2312" w:hAnsi="宋体" w:eastAsia="仿宋_GB2312"/>
                <w:kern w:val="0"/>
                <w:sz w:val="24"/>
              </w:rPr>
              <w:t>编制单位:沙湾市柳毛湾镇人民政府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类</w:t>
            </w:r>
          </w:p>
        </w:tc>
        <w:tc>
          <w:tcPr>
            <w:tcW w:w="495" w:type="dxa"/>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款</w:t>
            </w:r>
          </w:p>
        </w:tc>
        <w:tc>
          <w:tcPr>
            <w:tcW w:w="525" w:type="dxa"/>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项</w:t>
            </w:r>
          </w:p>
        </w:tc>
        <w:tc>
          <w:tcPr>
            <w:tcW w:w="1744" w:type="dxa"/>
            <w:vMerge w:val="continue"/>
            <w:vAlign w:val="center"/>
          </w:tcPr>
          <w:p>
            <w:pPr>
              <w:rPr>
                <w:rFonts w:ascii="仿宋_GB2312" w:hAnsi="宋体" w:eastAsia="仿宋_GB2312" w:cs="宋体"/>
                <w:color w:val="000000"/>
                <w:sz w:val="20"/>
                <w:szCs w:val="20"/>
              </w:rPr>
            </w:pPr>
          </w:p>
        </w:tc>
        <w:tc>
          <w:tcPr>
            <w:tcW w:w="1223" w:type="dxa"/>
            <w:vMerge w:val="continue"/>
            <w:vAlign w:val="center"/>
          </w:tcPr>
          <w:p>
            <w:pPr>
              <w:rPr>
                <w:rFonts w:ascii="仿宋_GB2312" w:hAnsi="宋体" w:eastAsia="仿宋_GB2312" w:cs="宋体"/>
                <w:color w:val="000000"/>
                <w:sz w:val="20"/>
                <w:szCs w:val="20"/>
              </w:rPr>
            </w:pPr>
          </w:p>
        </w:tc>
        <w:tc>
          <w:tcPr>
            <w:tcW w:w="1105"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120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987"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913"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92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854"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802"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746" w:type="dxa"/>
            <w:vMerge w:val="continue"/>
            <w:vAlign w:val="center"/>
          </w:tcPr>
          <w:p>
            <w:pPr>
              <w:rPr>
                <w:rFonts w:ascii="仿宋_GB2312" w:hAnsi="宋体" w:eastAsia="仿宋_GB2312" w:cs="宋体"/>
                <w:color w:val="000000"/>
                <w:sz w:val="20"/>
                <w:szCs w:val="20"/>
              </w:rPr>
            </w:pPr>
          </w:p>
        </w:tc>
        <w:tc>
          <w:tcPr>
            <w:tcW w:w="737" w:type="dxa"/>
            <w:vMerge w:val="continue"/>
            <w:vAlign w:val="center"/>
          </w:tcPr>
          <w:p>
            <w:pPr>
              <w:rPr>
                <w:rFonts w:ascii="仿宋_GB2312" w:hAnsi="宋体" w:eastAsia="仿宋_GB2312" w:cs="宋体"/>
                <w:color w:val="000000"/>
                <w:sz w:val="20"/>
                <w:szCs w:val="20"/>
              </w:rPr>
            </w:pPr>
          </w:p>
        </w:tc>
        <w:tc>
          <w:tcPr>
            <w:tcW w:w="678" w:type="dxa"/>
            <w:vMerge w:val="continue"/>
            <w:vAlign w:val="center"/>
          </w:tcPr>
          <w:p>
            <w:pPr>
              <w:rPr>
                <w:rFonts w:ascii="仿宋_GB2312" w:hAnsi="宋体" w:eastAsia="仿宋_GB2312" w:cs="宋体"/>
                <w:color w:val="000000"/>
                <w:sz w:val="20"/>
                <w:szCs w:val="20"/>
              </w:rPr>
            </w:pPr>
          </w:p>
        </w:tc>
        <w:tc>
          <w:tcPr>
            <w:tcW w:w="649" w:type="dxa"/>
            <w:vMerge w:val="continue"/>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一般公共服务支出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1065.09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557.43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556.04</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1.39</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507.66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政府办公厅（室）及相关机构事务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954.11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446.45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446.45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507.66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931.11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423.45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423.45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507.66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组织事务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其他组织事务支出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107.43</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统战事务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3.55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3.55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1.39</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宗教事务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1.39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1.39</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1.39</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其他统战事务支出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文化和旅游</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其他文化和旅游支出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社会保障和就业支出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行政事业单位养老支出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119.02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2.11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102.66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102.66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102.66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06</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10.65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10.65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10.65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卫生健康支出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64.82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25.45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25.45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25.45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26.92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26.92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26.92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公务员医疗补助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12.45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12.45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12.45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农林水支出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609.58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597.16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597.16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12.42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农业农村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510.76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501.16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501.16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80.31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70.71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70.71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430.45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430.45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430.45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农村综合改革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98.82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98.82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2.82</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住房保障支出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住房改革支出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住房公积金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85.28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28.68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合计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1975.98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1455.90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1451.01</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4.89</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520.08</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bl>
    <w:p>
      <w:pPr>
        <w:widowControl/>
        <w:jc w:val="left"/>
        <w:textAlignment w:val="bottom"/>
        <w:rPr>
          <w:rFonts w:ascii="仿宋_GB2312" w:hAnsi="宋体" w:eastAsia="仿宋_GB2312"/>
          <w:b/>
          <w:kern w:val="0"/>
          <w:sz w:val="32"/>
          <w:szCs w:val="32"/>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left"/>
        <w:rPr>
          <w:rFonts w:ascii="仿宋_GB2312" w:hAnsi="宋体" w:eastAsia="仿宋_GB2312"/>
          <w:kern w:val="0"/>
          <w:sz w:val="24"/>
        </w:rPr>
      </w:pPr>
    </w:p>
    <w:tbl>
      <w:tblPr>
        <w:tblStyle w:val="4"/>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rPr>
            </w:pPr>
            <w:r>
              <w:rPr>
                <w:rFonts w:hint="eastAsia" w:ascii="仿宋_GB2312" w:hAnsi="宋体" w:eastAsia="仿宋_GB2312"/>
                <w:kern w:val="0"/>
                <w:sz w:val="24"/>
              </w:rPr>
              <w:t>编制单位:沙湾市柳毛湾镇人民政府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1065.09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408.33</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656.76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954.11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408.33</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545.78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931.11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408.33</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522.78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23.00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107.43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107.43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107.43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107.43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3.55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3.55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1.39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1.39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2.16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2.16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119.02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119.02</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119.02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119.02</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3.60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3.60</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2.11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2.11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102.66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102.66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10.65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10.65</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64.82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64.82</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64.82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64.82</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25.45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25.45</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26.92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26.92</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12.45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12.45</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609.58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401.80</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207.79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510.76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401.80</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108.97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80.31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70.71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9.60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430.45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331.09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99.37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98.82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98.82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98.82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98.82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85.28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28.68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28.68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28.68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1975.98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1079.24</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896.73</w:t>
            </w:r>
          </w:p>
        </w:tc>
      </w:tr>
    </w:tbl>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编制单位:沙湾市柳毛湾镇人民政府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557.43</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557.43</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202外交支出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203国防支出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205教育支出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3.50</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3.50</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597.16</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597.16</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217金融支出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227预备费</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229其他支出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收入总计</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支出合计</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bl>
    <w:p>
      <w:pPr>
        <w:widowControl/>
        <w:jc w:val="left"/>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表5</w:t>
      </w:r>
    </w:p>
    <w:p>
      <w:pPr>
        <w:widowControl/>
        <w:jc w:val="center"/>
        <w:textAlignment w:val="bottom"/>
        <w:rPr>
          <w:rFonts w:ascii="宋体" w:hAnsi="宋体" w:cs="宋体"/>
          <w:color w:val="000000"/>
          <w:kern w:val="0"/>
          <w:sz w:val="20"/>
          <w:szCs w:val="20"/>
        </w:rPr>
      </w:pPr>
      <w:r>
        <w:rPr>
          <w:rFonts w:hint="eastAsia" w:ascii="仿宋_GB2312" w:hAnsi="宋体" w:eastAsia="仿宋_GB2312"/>
          <w:b/>
          <w:kern w:val="0"/>
          <w:sz w:val="32"/>
          <w:szCs w:val="32"/>
        </w:rPr>
        <w:t>一般公共预算支出情况表</w:t>
      </w:r>
    </w:p>
    <w:tbl>
      <w:tblPr>
        <w:tblStyle w:val="4"/>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沙湾市柳毛湾镇人民政府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557.43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408.33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149.10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446.45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408.33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38.12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423.45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408.33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107.43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107.43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107.43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107.43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1.39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1.39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119.02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3.60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3.60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2.11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102.66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102.66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10.65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10.65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64.82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25.45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25.45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26.92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26.92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12.45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597.16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401.80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195.37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501.16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401.80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99.37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70.71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70.71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430.45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331.09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99.37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85.28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28.68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1455.90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1079.24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376.65</w:t>
            </w: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表6</w:t>
      </w:r>
    </w:p>
    <w:p>
      <w:pPr>
        <w:widowControl/>
        <w:jc w:val="center"/>
        <w:textAlignment w:val="bottom"/>
        <w:rPr>
          <w:rFonts w:ascii="宋体" w:hAnsi="宋体" w:cs="宋体"/>
          <w:color w:val="000000"/>
          <w:kern w:val="0"/>
          <w:sz w:val="20"/>
          <w:szCs w:val="20"/>
        </w:rPr>
      </w:pPr>
      <w:r>
        <w:rPr>
          <w:rFonts w:hint="eastAsia" w:ascii="仿宋_GB2312" w:hAnsi="宋体" w:eastAsia="仿宋_GB2312"/>
          <w:b/>
          <w:kern w:val="0"/>
          <w:sz w:val="32"/>
          <w:szCs w:val="32"/>
        </w:rPr>
        <w:t>一般公共预算基本支出情况表</w:t>
      </w:r>
    </w:p>
    <w:tbl>
      <w:tblPr>
        <w:tblStyle w:val="4"/>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沙湾市柳毛湾镇人民政府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50"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rPr>
            </w:pPr>
          </w:p>
        </w:tc>
        <w:tc>
          <w:tcPr>
            <w:tcW w:w="1961" w:type="dxa"/>
            <w:vMerge w:val="continue"/>
            <w:vAlign w:val="center"/>
          </w:tcPr>
          <w:p>
            <w:pPr>
              <w:widowControl/>
              <w:jc w:val="center"/>
              <w:rPr>
                <w:rFonts w:ascii="宋体" w:hAnsi="宋体" w:cs="宋体"/>
                <w:b/>
                <w:bCs/>
                <w:color w:val="000000"/>
                <w:kern w:val="0"/>
                <w:sz w:val="20"/>
                <w:szCs w:val="20"/>
              </w:rPr>
            </w:pPr>
          </w:p>
        </w:tc>
        <w:tc>
          <w:tcPr>
            <w:tcW w:w="1547" w:type="dxa"/>
            <w:gridSpan w:val="2"/>
            <w:vMerge w:val="continue"/>
            <w:vAlign w:val="center"/>
          </w:tcPr>
          <w:p>
            <w:pPr>
              <w:widowControl/>
              <w:jc w:val="center"/>
              <w:rPr>
                <w:rFonts w:ascii="宋体" w:hAnsi="宋体" w:cs="宋体"/>
                <w:b/>
                <w:bCs/>
                <w:color w:val="000000"/>
                <w:kern w:val="0"/>
                <w:sz w:val="20"/>
                <w:szCs w:val="20"/>
              </w:rPr>
            </w:pPr>
          </w:p>
        </w:tc>
        <w:tc>
          <w:tcPr>
            <w:tcW w:w="1597" w:type="dxa"/>
            <w:vMerge w:val="continue"/>
            <w:vAlign w:val="center"/>
          </w:tcPr>
          <w:p>
            <w:pPr>
              <w:widowControl/>
              <w:jc w:val="center"/>
              <w:rPr>
                <w:rFonts w:ascii="宋体" w:hAnsi="宋体"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工资福利支出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930.17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930.17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基本工资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253.93</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253.93</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津贴补贴</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188.09</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188.09</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奖金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135.01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135.01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绩效工资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83.67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83.67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机关事业单位基本养老保险缴费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102.66</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102.66</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职业年金缴费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10.65</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10.65</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10</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职工基本医疗保险缴费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52.37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52.37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公务员医疗补助缴费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12.45</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12.45</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其他社会保障缴费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6.06</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6.06</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住房公积金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85.28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85.28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142.96</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办公费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46.50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46.50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邮电费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9.50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取暖费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30.00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差旅费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维修(护)费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培训费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公务接待费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劳务费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工会经费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7.24</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福利费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8.64</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公务用车运行维护费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6.12</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6.12</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退休费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5.71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5.71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05</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生活补助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0.39</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0.39</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0.02</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0.02</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合计</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1079.24</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936.29</w:t>
            </w: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142.95</w:t>
            </w:r>
          </w:p>
        </w:tc>
      </w:tr>
    </w:tbl>
    <w:p>
      <w:pPr>
        <w:widowControl/>
        <w:jc w:val="left"/>
        <w:textAlignment w:val="bottom"/>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表7</w:t>
      </w:r>
    </w:p>
    <w:p>
      <w:pPr>
        <w:widowControl/>
        <w:jc w:val="center"/>
        <w:textAlignment w:val="bottom"/>
        <w:rPr>
          <w:rFonts w:ascii="宋体" w:hAnsi="宋体" w:cs="宋体"/>
          <w:color w:val="000000"/>
          <w:kern w:val="0"/>
          <w:sz w:val="20"/>
          <w:szCs w:val="20"/>
        </w:rPr>
      </w:pPr>
      <w:r>
        <w:rPr>
          <w:rFonts w:hint="eastAsia" w:ascii="仿宋_GB2312" w:hAnsi="宋体" w:eastAsia="仿宋_GB2312"/>
          <w:b/>
          <w:kern w:val="0"/>
          <w:sz w:val="32"/>
          <w:szCs w:val="32"/>
        </w:rPr>
        <w:t>一般公共预算项目支出情况表</w:t>
      </w:r>
    </w:p>
    <w:tbl>
      <w:tblPr>
        <w:tblStyle w:val="4"/>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沙湾市柳毛湾镇人民政府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875"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127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7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2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8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56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907" w:type="dxa"/>
            <w:vMerge w:val="continue"/>
            <w:vAlign w:val="center"/>
          </w:tcPr>
          <w:p>
            <w:pPr>
              <w:widowControl/>
              <w:jc w:val="center"/>
              <w:rPr>
                <w:rFonts w:ascii="仿宋_GB2312" w:hAnsi="宋体" w:eastAsia="仿宋_GB2312"/>
                <w:b/>
                <w:kern w:val="0"/>
                <w:sz w:val="20"/>
                <w:szCs w:val="20"/>
              </w:rPr>
            </w:pPr>
          </w:p>
        </w:tc>
        <w:tc>
          <w:tcPr>
            <w:tcW w:w="1875" w:type="dxa"/>
            <w:vMerge w:val="continue"/>
            <w:vAlign w:val="center"/>
          </w:tcPr>
          <w:p>
            <w:pPr>
              <w:jc w:val="center"/>
              <w:rPr>
                <w:rFonts w:ascii="Calibri" w:hAnsi="Calibri"/>
                <w:sz w:val="20"/>
                <w:szCs w:val="20"/>
              </w:rPr>
            </w:pPr>
          </w:p>
        </w:tc>
        <w:tc>
          <w:tcPr>
            <w:tcW w:w="1278" w:type="dxa"/>
            <w:vMerge w:val="continue"/>
            <w:vAlign w:val="center"/>
          </w:tcPr>
          <w:p>
            <w:pPr>
              <w:widowControl/>
              <w:jc w:val="center"/>
              <w:rPr>
                <w:rFonts w:ascii="仿宋_GB2312" w:hAnsi="宋体" w:eastAsia="仿宋_GB2312"/>
                <w:b/>
                <w:kern w:val="0"/>
                <w:sz w:val="20"/>
                <w:szCs w:val="20"/>
              </w:rPr>
            </w:pPr>
          </w:p>
        </w:tc>
        <w:tc>
          <w:tcPr>
            <w:tcW w:w="765" w:type="dxa"/>
            <w:vMerge w:val="continue"/>
            <w:vAlign w:val="center"/>
          </w:tcPr>
          <w:p>
            <w:pPr>
              <w:widowControl/>
              <w:jc w:val="center"/>
              <w:rPr>
                <w:rFonts w:ascii="仿宋_GB2312" w:hAnsi="宋体" w:eastAsia="仿宋_GB2312"/>
                <w:b/>
                <w:kern w:val="0"/>
                <w:sz w:val="20"/>
                <w:szCs w:val="20"/>
              </w:rPr>
            </w:pPr>
          </w:p>
        </w:tc>
        <w:tc>
          <w:tcPr>
            <w:tcW w:w="821" w:type="dxa"/>
            <w:vMerge w:val="continue"/>
            <w:vAlign w:val="center"/>
          </w:tcPr>
          <w:p>
            <w:pPr>
              <w:widowControl/>
              <w:jc w:val="center"/>
              <w:rPr>
                <w:rFonts w:ascii="仿宋_GB2312" w:hAnsi="宋体" w:eastAsia="仿宋_GB2312"/>
                <w:b/>
                <w:kern w:val="0"/>
                <w:sz w:val="20"/>
                <w:szCs w:val="20"/>
              </w:rPr>
            </w:pPr>
          </w:p>
        </w:tc>
        <w:tc>
          <w:tcPr>
            <w:tcW w:w="705" w:type="dxa"/>
            <w:vMerge w:val="continue"/>
            <w:vAlign w:val="center"/>
          </w:tcPr>
          <w:p>
            <w:pPr>
              <w:widowControl/>
              <w:jc w:val="center"/>
              <w:rPr>
                <w:rFonts w:ascii="仿宋_GB2312" w:hAnsi="宋体" w:eastAsia="仿宋_GB2312"/>
                <w:b/>
                <w:kern w:val="0"/>
                <w:sz w:val="20"/>
                <w:szCs w:val="20"/>
              </w:rPr>
            </w:pPr>
          </w:p>
        </w:tc>
        <w:tc>
          <w:tcPr>
            <w:tcW w:w="694" w:type="dxa"/>
            <w:vMerge w:val="continue"/>
            <w:vAlign w:val="center"/>
          </w:tcPr>
          <w:p>
            <w:pPr>
              <w:widowControl/>
              <w:jc w:val="center"/>
              <w:rPr>
                <w:rFonts w:ascii="仿宋_GB2312" w:hAnsi="宋体" w:eastAsia="仿宋_GB2312"/>
                <w:b/>
                <w:kern w:val="0"/>
                <w:sz w:val="20"/>
                <w:szCs w:val="20"/>
              </w:rPr>
            </w:pPr>
          </w:p>
        </w:tc>
        <w:tc>
          <w:tcPr>
            <w:tcW w:w="525" w:type="dxa"/>
            <w:vMerge w:val="continue"/>
            <w:vAlign w:val="center"/>
          </w:tcPr>
          <w:p>
            <w:pPr>
              <w:widowControl/>
              <w:jc w:val="center"/>
              <w:rPr>
                <w:rFonts w:ascii="仿宋_GB2312" w:hAnsi="宋体" w:eastAsia="仿宋_GB2312"/>
                <w:b/>
                <w:kern w:val="0"/>
                <w:sz w:val="20"/>
                <w:szCs w:val="20"/>
              </w:rPr>
            </w:pPr>
          </w:p>
        </w:tc>
        <w:tc>
          <w:tcPr>
            <w:tcW w:w="615" w:type="dxa"/>
            <w:vMerge w:val="continue"/>
            <w:vAlign w:val="center"/>
          </w:tcPr>
          <w:p>
            <w:pPr>
              <w:widowControl/>
              <w:jc w:val="center"/>
              <w:rPr>
                <w:rFonts w:ascii="仿宋_GB2312" w:hAnsi="宋体" w:eastAsia="仿宋_GB2312"/>
                <w:b/>
                <w:kern w:val="0"/>
                <w:sz w:val="20"/>
                <w:szCs w:val="20"/>
              </w:rPr>
            </w:pPr>
          </w:p>
        </w:tc>
        <w:tc>
          <w:tcPr>
            <w:tcW w:w="626"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461" w:type="dxa"/>
            <w:vMerge w:val="continue"/>
            <w:vAlign w:val="center"/>
          </w:tcPr>
          <w:p>
            <w:pPr>
              <w:widowControl/>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一般公共服务支出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149.10</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15.12</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1.03</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109.95</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政府办公厅（室）及相关机构事务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38.12</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15.12</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行政运行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柳毛湾镇2023年伙食补助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15.12</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15.12</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其他政府办公厅（室）及相关机构事务支出</w:t>
            </w:r>
          </w:p>
        </w:tc>
        <w:tc>
          <w:tcPr>
            <w:tcW w:w="1875" w:type="dxa"/>
            <w:vAlign w:val="center"/>
          </w:tcPr>
          <w:p>
            <w:pPr>
              <w:jc w:val="left"/>
              <w:rPr>
                <w:rFonts w:ascii="仿宋_GB2312" w:hAnsi="宋体" w:eastAsia="仿宋_GB2312"/>
                <w:kern w:val="0"/>
                <w:sz w:val="16"/>
                <w:szCs w:val="16"/>
              </w:rPr>
            </w:pPr>
            <w:r>
              <w:rPr>
                <w:rFonts w:ascii="仿宋_GB2312" w:hAnsi="宋体" w:eastAsia="仿宋_GB2312"/>
                <w:kern w:val="0"/>
                <w:sz w:val="16"/>
                <w:szCs w:val="16"/>
              </w:rPr>
              <w:t>特定类项目</w:t>
            </w:r>
            <w:r>
              <w:rPr>
                <w:rFonts w:hint="eastAsia" w:ascii="仿宋_GB2312" w:hAnsi="宋体" w:eastAsia="仿宋_GB2312"/>
                <w:kern w:val="0"/>
                <w:sz w:val="16"/>
                <w:szCs w:val="16"/>
              </w:rPr>
              <w:t>1</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23.00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组织事务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107.43</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107.43</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其他组织事务支出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柳毛湾镇2023年三老人员生活补助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107.43</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107.43</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统战事务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3.55</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1.03</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2.52</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塔地财行[2022]55号沙财行[2022]21号柳毛湾镇2023年自治区管委会工作经费</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塔地财行[2022]55号沙财行[2022]21号柳毛湾镇2023年自治区管委会人员经费及保险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0.03</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0.03</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塔地财行[2022]55号沙财行[2022]21号柳毛湾镇2023年自治区管委会人员经费及保险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0.36</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0.36</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其他统战事务支出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柳毛湾镇2023年管委会干部生活补助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2.16</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2.16</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文化和旅游</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其他文化和旅游支出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塔地财教〔2023〕4号沙财教〔2023〕3号柳毛湾镇体制结算－美术馆、公共图书馆、文化馆[站]免费开放补助资金（中央）</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3.00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塔地财教〔2023〕17号沙财教〔2023〕8号柳毛湾镇自治区美术馆、公共图书馆文化馆免费开放补助资金</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农林水支出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195.37</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99.37</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农业农村</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99.37</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99.37</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44.04</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44.04</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26.14</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26.14</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9.64</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9.64</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19.55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19.55</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农村综合改革</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96.00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对村民委员会和村党支部的补助</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柳毛湾镇2023年村干部报酬</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96.00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96.00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28.68</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28.68</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28.68</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28.68</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柳毛湾镇2023年驻村干部生活补助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28.68</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28.68</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合计</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376.65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114.49</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4.53</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234.63</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61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23.00</w:t>
            </w:r>
          </w:p>
        </w:tc>
        <w:tc>
          <w:tcPr>
            <w:tcW w:w="626"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bl>
    <w:p>
      <w:pPr>
        <w:widowControl/>
        <w:jc w:val="left"/>
        <w:textAlignment w:val="bottom"/>
        <w:rPr>
          <w:rFonts w:ascii="仿宋_GB2312" w:hAnsi="宋体" w:eastAsia="仿宋_GB2312" w:cs="宋体"/>
          <w:kern w:val="0"/>
          <w:sz w:val="16"/>
          <w:szCs w:val="16"/>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w:t>
      </w:r>
      <w:r>
        <w:rPr>
          <w:rFonts w:ascii="宋体" w:hAnsi="宋体" w:cs="宋体"/>
          <w:color w:val="000000"/>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rPr>
            </w:pPr>
            <w:r>
              <w:rPr>
                <w:rFonts w:hint="eastAsia" w:ascii="仿宋_GB2312" w:hAnsi="宋体" w:eastAsia="仿宋_GB2312"/>
                <w:kern w:val="0"/>
                <w:sz w:val="24"/>
              </w:rPr>
              <w:t>编制单位:沙湾市柳毛湾镇人民政府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r>
        <w:rPr>
          <w:rFonts w:hint="eastAsia" w:ascii="仿宋_GB2312" w:hAnsi="宋体" w:eastAsia="仿宋_GB2312"/>
          <w:b/>
          <w:bCs/>
          <w:kern w:val="0"/>
          <w:sz w:val="24"/>
        </w:rPr>
        <w:t>备注:沙湾市柳毛湾镇人民政府2023年没有使用政府性基金预算拨款安排的支出，政府性基金预算支出情况表为空表。</w:t>
      </w: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spacing w:line="280" w:lineRule="exact"/>
        <w:rPr>
          <w:rFonts w:ascii="宋体" w:hAnsi="宋体" w:cs="宋体"/>
          <w:color w:val="000000"/>
          <w:kern w:val="0"/>
          <w:sz w:val="20"/>
          <w:szCs w:val="20"/>
        </w:rPr>
      </w:pPr>
      <w:r>
        <w:rPr>
          <w:rFonts w:hint="eastAsia" w:ascii="宋体" w:hAnsi="宋体" w:cs="宋体"/>
          <w:color w:val="000000"/>
          <w:kern w:val="0"/>
          <w:sz w:val="20"/>
          <w:szCs w:val="20"/>
        </w:rPr>
        <w:t>表</w:t>
      </w:r>
      <w:r>
        <w:rPr>
          <w:rFonts w:ascii="宋体" w:hAnsi="宋体" w:cs="宋体"/>
          <w:color w:val="000000"/>
          <w:kern w:val="0"/>
          <w:sz w:val="20"/>
          <w:szCs w:val="20"/>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center"/>
        <w:rPr>
          <w:rFonts w:ascii="仿宋_GB2312" w:hAnsi="宋体" w:eastAsia="仿宋_GB2312"/>
          <w:b/>
          <w:kern w:val="0"/>
          <w:sz w:val="32"/>
          <w:szCs w:val="32"/>
        </w:rPr>
      </w:pPr>
    </w:p>
    <w:tbl>
      <w:tblPr>
        <w:tblStyle w:val="4"/>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rPr>
            </w:pPr>
            <w:r>
              <w:rPr>
                <w:rFonts w:hint="eastAsia" w:ascii="仿宋_GB2312" w:hAnsi="宋体" w:eastAsia="仿宋_GB2312"/>
                <w:kern w:val="0"/>
                <w:sz w:val="24"/>
              </w:rPr>
              <w:t>编制单位:沙湾市柳毛湾镇人民政府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仿宋_GB2312" w:hAnsi="宋体" w:eastAsia="仿宋_GB2312" w:cs="宋体"/>
                <w:b/>
                <w:bCs/>
                <w:color w:val="000000"/>
                <w:kern w:val="0"/>
                <w:sz w:val="20"/>
                <w:szCs w:val="20"/>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rPr>
            </w:pPr>
            <w:r>
              <w:rPr>
                <w:rFonts w:hint="eastAsia" w:ascii="仿宋_GB2312" w:hAnsi="宋体" w:eastAsia="仿宋_GB2312" w:cs="宋体"/>
                <w:kern w:val="0"/>
                <w:sz w:val="16"/>
                <w:szCs w:val="16"/>
              </w:rPr>
              <w:t>合计</w:t>
            </w:r>
            <w:r>
              <w:rPr>
                <w:rFonts w:hint="eastAsia" w:ascii="仿宋_GB2312" w:hAnsi="宋体" w:eastAsia="仿宋_GB2312" w:cs="宋体"/>
                <w:b/>
                <w:bCs/>
                <w:color w:val="000000"/>
                <w:kern w:val="0"/>
                <w:sz w:val="32"/>
                <w:szCs w:val="32"/>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rPr>
            </w:pPr>
            <w:r>
              <w:rPr>
                <w:rFonts w:hint="eastAsia" w:ascii="仿宋_GB2312" w:hAnsi="宋体" w:eastAsia="仿宋_GB2312" w:cs="宋体"/>
                <w:b/>
                <w:bCs/>
                <w:color w:val="000000"/>
                <w:kern w:val="0"/>
                <w:sz w:val="32"/>
                <w:szCs w:val="32"/>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r>
        <w:rPr>
          <w:rFonts w:hint="eastAsia" w:ascii="仿宋_GB2312" w:hAnsi="宋体" w:eastAsia="仿宋_GB2312"/>
          <w:b/>
          <w:bCs/>
          <w:kern w:val="0"/>
          <w:sz w:val="24"/>
        </w:rPr>
        <w:t>备注:沙湾市柳毛湾镇人民政府2023年没有使用国有资本经营预算拨款安排的支出，国有资本经营预算支出情况表为空表。</w:t>
      </w: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0"/>
          <w:szCs w:val="20"/>
        </w:rPr>
        <w:t>表</w:t>
      </w:r>
      <w:r>
        <w:rPr>
          <w:rFonts w:ascii="宋体" w:hAnsi="宋体" w:cs="宋体"/>
          <w:color w:val="000000"/>
          <w:kern w:val="0"/>
          <w:sz w:val="20"/>
          <w:szCs w:val="20"/>
        </w:rPr>
        <w:t>10</w:t>
      </w:r>
    </w:p>
    <w:p>
      <w:pPr>
        <w:widowControl/>
        <w:jc w:val="center"/>
        <w:rPr>
          <w:rFonts w:ascii="仿宋_GB2312" w:hAnsi="宋体" w:eastAsia="仿宋_GB2312"/>
          <w:kern w:val="0"/>
          <w:sz w:val="24"/>
        </w:rPr>
      </w:pPr>
      <w:r>
        <w:rPr>
          <w:rFonts w:hint="eastAsia" w:ascii="仿宋_GB2312" w:hAnsi="宋体" w:eastAsia="仿宋_GB2312"/>
          <w:b/>
          <w:kern w:val="0"/>
          <w:sz w:val="32"/>
          <w:szCs w:val="32"/>
        </w:rPr>
        <w:t>财政拨款“三公”经费支出情况表</w:t>
      </w:r>
    </w:p>
    <w:tbl>
      <w:tblPr>
        <w:tblStyle w:val="5"/>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rPr>
            </w:pPr>
            <w:r>
              <w:rPr>
                <w:rFonts w:hint="eastAsia" w:ascii="仿宋_GB2312" w:hAnsi="宋体" w:eastAsia="仿宋_GB2312"/>
                <w:kern w:val="0"/>
                <w:sz w:val="24"/>
              </w:rPr>
              <w:t>编制单位:沙湾市柳毛湾镇人民政府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rPr>
            </w:pPr>
          </w:p>
        </w:tc>
        <w:tc>
          <w:tcPr>
            <w:tcW w:w="875" w:type="dxa"/>
            <w:vMerge w:val="continue"/>
            <w:tcBorders>
              <w:top w:val="single" w:color="auto" w:sz="4" w:space="0"/>
            </w:tcBorders>
          </w:tcPr>
          <w:p>
            <w:pPr>
              <w:widowControl/>
              <w:rPr>
                <w:rFonts w:ascii="仿宋_GB2312" w:hAnsi="宋体" w:eastAsia="仿宋_GB2312"/>
                <w:b/>
                <w:kern w:val="0"/>
                <w:sz w:val="28"/>
                <w:szCs w:val="32"/>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11.00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11.00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公务用车购置及运行费（小计）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公务用车运行费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10.00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第三部分2023年单位预算情况说明</w:t>
      </w:r>
    </w:p>
    <w:p>
      <w:pPr>
        <w:spacing w:line="600" w:lineRule="exact"/>
        <w:ind w:firstLine="640" w:firstLineChars="200"/>
        <w:rPr>
          <w:rFonts w:ascii="黑体" w:hAnsi="黑体" w:eastAsia="黑体"/>
          <w:kern w:val="0"/>
          <w:sz w:val="32"/>
          <w:szCs w:val="32"/>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关于沙湾市柳毛湾镇人民政府2023年收支预算情况的总体说明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按照全口径预算的原则，沙湾市柳毛湾镇人民政府2023年所有收入和支出均纳入单位预算管理。收支总预算1975.98万元。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支出预算包括：一般公共服务支出、文化旅游体育与传媒支出、社会保障和就业支出、卫生健康支出、农林水支出、住房保障支出、其他支出。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二、关于沙湾市柳毛湾镇人民政府2023年收入预算情况说明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沙湾市柳毛湾镇人民政府收入预算1975.98万元，其中：</w:t>
      </w:r>
    </w:p>
    <w:p>
      <w:pPr>
        <w:spacing w:line="580" w:lineRule="exact"/>
        <w:ind w:firstLine="640"/>
        <w:rPr>
          <w:rFonts w:ascii="仿宋_GB2312" w:eastAsia="仿宋_GB2312"/>
          <w:sz w:val="32"/>
          <w:szCs w:val="32"/>
        </w:rPr>
      </w:pPr>
      <w:r>
        <w:rPr>
          <w:rFonts w:hint="eastAsia" w:ascii="仿宋_GB2312" w:eastAsia="仿宋_GB2312"/>
          <w:sz w:val="32"/>
          <w:szCs w:val="32"/>
        </w:rPr>
        <w:t>一般公共预算1451.01万元，占73.43%，比上年预算减少7.46万元，下降0.51%，主要原因是本年度村干部基础报酬预算安排资金减少。</w:t>
      </w:r>
    </w:p>
    <w:p>
      <w:pPr>
        <w:spacing w:line="580" w:lineRule="exact"/>
        <w:ind w:firstLine="640"/>
        <w:rPr>
          <w:rFonts w:ascii="仿宋_GB2312" w:eastAsia="仿宋_GB2312"/>
          <w:sz w:val="32"/>
          <w:szCs w:val="32"/>
        </w:rPr>
      </w:pPr>
      <w:r>
        <w:rPr>
          <w:rFonts w:hint="eastAsia" w:ascii="仿宋_GB2312" w:eastAsia="仿宋_GB2312"/>
          <w:sz w:val="32"/>
          <w:szCs w:val="32"/>
        </w:rPr>
        <w:t>上级一般公共预算安排的转移支付资金4.89万元，占0.25%，比上年预算增加4.89万元，增长100%，主要原因是我单位2022年未做上级一般公共预算安排的转移支付资金，因此本年较上年有所增加。</w:t>
      </w:r>
    </w:p>
    <w:p>
      <w:pPr>
        <w:spacing w:line="580" w:lineRule="exact"/>
        <w:ind w:firstLine="640"/>
        <w:rPr>
          <w:rFonts w:ascii="仿宋_GB2312" w:eastAsia="仿宋_GB2312"/>
          <w:sz w:val="32"/>
          <w:szCs w:val="32"/>
        </w:rPr>
      </w:pPr>
      <w:r>
        <w:rPr>
          <w:rFonts w:hint="eastAsia" w:ascii="仿宋_GB2312" w:eastAsia="仿宋_GB2312"/>
          <w:sz w:val="32"/>
          <w:szCs w:val="32"/>
        </w:rPr>
        <w:t>政府性基金预算未安排。</w:t>
      </w:r>
    </w:p>
    <w:p>
      <w:pPr>
        <w:spacing w:line="580" w:lineRule="exact"/>
        <w:ind w:firstLine="640"/>
        <w:rPr>
          <w:rFonts w:ascii="仿宋_GB2312" w:eastAsia="仿宋_GB2312"/>
          <w:sz w:val="32"/>
          <w:szCs w:val="32"/>
        </w:rPr>
      </w:pPr>
      <w:r>
        <w:rPr>
          <w:rFonts w:hint="eastAsia" w:ascii="仿宋_GB2312" w:eastAsia="仿宋_GB2312"/>
          <w:sz w:val="32"/>
          <w:szCs w:val="32"/>
        </w:rPr>
        <w:t>上级政府性基金安排的转移支付资金未安排。</w:t>
      </w:r>
    </w:p>
    <w:p>
      <w:pPr>
        <w:spacing w:line="580" w:lineRule="exact"/>
        <w:ind w:firstLine="640"/>
        <w:rPr>
          <w:rFonts w:ascii="仿宋_GB2312" w:eastAsia="仿宋_GB2312"/>
          <w:sz w:val="32"/>
          <w:szCs w:val="32"/>
        </w:rPr>
      </w:pPr>
      <w:r>
        <w:rPr>
          <w:rFonts w:hint="eastAsia" w:ascii="仿宋_GB2312" w:eastAsia="仿宋_GB2312"/>
          <w:sz w:val="32"/>
          <w:szCs w:val="32"/>
        </w:rPr>
        <w:t>国有资本经营预算未安排。</w:t>
      </w:r>
    </w:p>
    <w:p>
      <w:pPr>
        <w:spacing w:line="580" w:lineRule="exact"/>
        <w:ind w:firstLine="640"/>
        <w:rPr>
          <w:rFonts w:ascii="仿宋_GB2312" w:eastAsia="仿宋_GB2312"/>
          <w:sz w:val="32"/>
          <w:szCs w:val="32"/>
        </w:rPr>
      </w:pPr>
      <w:r>
        <w:rPr>
          <w:rFonts w:hint="eastAsia" w:ascii="仿宋_GB2312" w:eastAsia="仿宋_GB2312"/>
          <w:sz w:val="32"/>
          <w:szCs w:val="32"/>
        </w:rPr>
        <w:t>上级国有资本经营预算安排的转移支付资金未安排。</w:t>
      </w:r>
    </w:p>
    <w:p>
      <w:pPr>
        <w:spacing w:line="580" w:lineRule="exact"/>
        <w:ind w:firstLine="640"/>
        <w:rPr>
          <w:rFonts w:ascii="仿宋_GB2312" w:eastAsia="仿宋_GB2312"/>
          <w:sz w:val="32"/>
          <w:szCs w:val="32"/>
        </w:rPr>
      </w:pPr>
      <w:r>
        <w:rPr>
          <w:rFonts w:hint="eastAsia" w:ascii="仿宋_GB2312" w:eastAsia="仿宋_GB2312"/>
          <w:sz w:val="32"/>
          <w:szCs w:val="32"/>
        </w:rPr>
        <w:t>单位资金520.08万元，占26.32%，比上年预算增加520.08万元，增长100%，主要原因是本年新增单位资金收入。</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三、关于沙湾市柳毛湾镇人民政府2023年支出预算情况说明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沙湾市柳毛湾镇人民政府2023年支出预算1975.98万元，其中：</w:t>
      </w:r>
    </w:p>
    <w:p>
      <w:pPr>
        <w:widowControl/>
        <w:spacing w:line="580" w:lineRule="exact"/>
        <w:ind w:firstLine="64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1079.24万元，占54.62%，比上年预算减少349.49万元，下降24.46%，主要原因是上年预算我单位将三老人员生活补助、管委会干部经费及保险、管委会工作经费、村干部报酬、驻村干部生活补助列入基本支出预算，本年将这些项目列入项目支出预算，故本年基本支出预算较上年预算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896.73万元，占45.38%，比上年预算增加866.99万元，增长2915.23%，主要原因是本年新增单位资金项目520.08万元、且上年预算我单位将三老人员生活补助、管委会干部经费及保险、管委会工作经费、村干部报酬、驻村干部生活补助列入基本支出预算，本年将这些项目列入项目支出预算，故本年基本支出预算较上年预算增加。</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四、关于沙湾市柳毛湾镇人民政府2023年财政拨款收支预算情况的总体说明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2023年财政拨款收支总预算1455.90万元。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收入预算包括：一般公共预算拨款1455.90万元。</w:t>
      </w:r>
    </w:p>
    <w:p>
      <w:pPr>
        <w:spacing w:line="580" w:lineRule="exact"/>
        <w:ind w:firstLine="640"/>
        <w:rPr>
          <w:rFonts w:ascii="仿宋_GB2312" w:eastAsia="仿宋_GB2312"/>
          <w:sz w:val="32"/>
          <w:szCs w:val="32"/>
        </w:rPr>
      </w:pPr>
      <w:r>
        <w:rPr>
          <w:rFonts w:hint="eastAsia" w:ascii="仿宋_GB2312" w:eastAsia="仿宋_GB2312"/>
          <w:sz w:val="32"/>
          <w:szCs w:val="32"/>
        </w:rPr>
        <w:t>一般公共预算支出包括：一般公共服务支出557.43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3.50万元，主要用于文化专项项目办公经费支出；社会保障和就业支出119.02万元，主要用于机关事业单位基本养老保险缴纳费支出、行政单位离退休、事业单位离退休、机关事业单位职业年金缴费支出；卫生健康支出64.82万元，主要用于行政单位医疗、事业单位医疗、公务员医疗补助支出；农林水支出597.16万元，</w:t>
      </w:r>
      <w:r>
        <w:rPr>
          <w:rFonts w:hint="eastAsia" w:ascii="仿宋_GB2312" w:hAnsi="宋体" w:eastAsia="仿宋_GB2312" w:cs="宋体"/>
          <w:kern w:val="0"/>
          <w:sz w:val="32"/>
          <w:szCs w:val="32"/>
        </w:rPr>
        <w:t>主要用于事业单位、参公2023年工资福利支出、2023年村干部报酬</w:t>
      </w:r>
      <w:r>
        <w:rPr>
          <w:rFonts w:hint="eastAsia" w:ascii="仿宋_GB2312" w:eastAsia="仿宋_GB2312"/>
          <w:sz w:val="32"/>
          <w:szCs w:val="32"/>
        </w:rPr>
        <w:t>；住房保障支出85.28万元，主要用于柳毛湾镇在职干部住房公积金缴费支出；其他支出28.68万元，主要用于柳毛湾镇驻村干部生活补助支出。</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沙湾市柳毛湾镇人民政府2023</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沙湾市柳毛湾镇人民政府2023年一般公共预算拨款合计1455.90万元，其中：基本支出1079.24万元，比上年预算减少349.49万元，下降24.46%。主要原因是：我单位2022年将其他组织事务支出、宗教事务、对村民委员会和村党支部的补助、其他支出等功能分类支出放在了基本支出里，2023年预算将这些功能分类支出放入项目支出里，致使基本支出较上年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376.65万元，比上年预算增加346.91万元,增长1166.48%。主要原因是：我单位2022年将其他组织事务支出、宗教事务、对村民委员会和村党支部的补助、其他支出等功能分类支出放在了基本支出里，2023年预算将这些功能分类支出放入项目支出里，致使项目支出较上年增加。</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1.一般公共服务支出（类）557.43万元，占38.29%。</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2.文化旅游体育与传媒支出（类）3.50万元，占0.24%。</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3.社会保障和就业支出（类）119.02万元，占8.17%。</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4.卫生健康支出（类）64.82万元，占4.45%。</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5.农林水支出（类）597.16万元，占41.02%。</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6.住房保障支出（类）85.28万元，占5.86%。</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7.其他支出（类）28.68万元，占1.97%。</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1.一般公共服务支出(类)政府办公厅（室）及相关机构事务(款)行政运行(项):2023年预算数为423.45万元，比上年预算增加125.34万元，增长42.04%，主要原因是：在职人员基本工资调标、新增年度绩效考核奖励金。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2.一般公共服务支出(类)政府办公厅（室）及相关机构事务(款)其他政府办公厅（室）及相关机构事务支出(项):2023年预算数为23.00万元，比上年预算增加10.00万元，增长76.92%，主要原因是：本年度新增</w:t>
      </w:r>
      <w:r>
        <w:rPr>
          <w:rFonts w:hint="eastAsia" w:ascii="仿宋_GB2312" w:hAnsi="黑体" w:eastAsia="仿宋_GB2312"/>
          <w:sz w:val="32"/>
          <w:szCs w:val="32"/>
        </w:rPr>
        <w:t>沙湾县柳毛湾镇文化广场改造项目、沙湾县柳毛湾镇柳青社区室内装修、沙湾县柳毛湾镇办公楼维修、旧餐厅屋面维修、老财政所改造工程项目、沙湾县柳毛湾镇政府办公楼维修工程项目、沙湾县柳毛湾镇道路及路灯改造项目</w:t>
      </w:r>
      <w:r>
        <w:rPr>
          <w:rFonts w:hint="eastAsia" w:ascii="仿宋_GB2312" w:hAnsi="仿宋_GB2312" w:eastAsia="仿宋_GB2312" w:cs="仿宋_GB2312"/>
          <w:kern w:val="0"/>
          <w:sz w:val="32"/>
          <w:szCs w:val="32"/>
        </w:rPr>
        <w:t>，故预算安排资金有所增加。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3.一般公共服务支出(类)组织事务(款)其他组织事务支出(项):2023年预算数为107.43万元，比上年预算增加30.23万元，增长39.16%，主要原因是：较上年我单位“三老、四老”人员新增10余人及部分人员年底提标。</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4.一般公共服务支出(类)统战事务(款)宗教事务(项):2023年预算数为1.39万元，比上年预算增加1.39万元，增长100%，主要原因是：本年新增管委会工作经费及管委会干部保险项目，故预算安排资金增加。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一般公共服务支出(类)统战事务(款)其他统战事务支出(项):2023年预算数为2.16万元，比上年预算减少4.32万元，下降66.67%，主要原因是：本年该科目未安排塔地财行[2022]55号沙财行[2022]21号提前下达2023年自治区管委会经费项目，该项目列入统战事务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文化旅游体育与传媒支出(类)文化和旅游(款)其他文化和旅游支出(项):2023年预算数为3.00万元，比上年预算增加3.00万元，增长100%，主要原因是：本年度新增塔地财教[2023]4号美术馆、公共图书馆、文化馆[站]免费开放补助资金项目，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文化旅游体育与传媒支出(类)其他文化旅游体育与传媒支出(款)其他文化旅游体育与传媒支出(项):2023年预算数为0.50万元，比上年预算增加0.50万元，增长100%，主要原因是：本年度新增塔地财教[2023]17号沙财教[2023]8号自治区美术馆、公共图书馆文化馆免费开放补助资金项目，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8.社会保障和就业支出(类)行政事业单位养老支出(款)行政单位离退休(项):2023年预算数为3.60万元，比上年预算增加0.46万元，增长14.65%，主要原因是：本年度我单位退休人员基础绩效奖增资，故预算安排资金增加。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9.社会保障和就业支出(类)行政事业单位养老支出(款)事业单位离退休(项):2023年预算数为2.11万元，比上年预算增加0.30万元，增长16.57%，主要原因是：本年度退休人员新增1人，故退休费预算安排资金增加。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社会保障和就业支出(类)行政事业单位养老支出(款)机关事业单位基本养老保险缴费支出(项):2023年预算数为102.66万元，比上年预算增加15.38万元，增长17.62%，主要原因是：本年度工资调标，致使机关事业单位基本养老保险缴费基数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社会保障和就业支出(类)行政事业单位养老支出(款)机关事业单位职业年金缴费支出(项):2023年预算数为10.65万元，比上年预算增加0.82万元，增长8.34%，主要原因是：本年度工资调标，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12.卫生健康支出(类)行政事业单位医疗(款)行政单位医疗(项):2023年预算数为25.45万元，比上年预算减少4.61万元，下降15.34%，主要原因是：2023年预算基本医疗测算基础数据减少了基础绩效奖，故基本医疗预算减少。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13.卫生健康支出(类)行政事业单位医疗(款)事业单位医疗(项):2023年预算数为26.92万元，比上年预算减少2.98万元，下降9.97%，主要原因是：2023年预算基本医疗测算基础数据减少了基础绩效奖，故基本医疗预算减少。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卫生健康支出(类)行政事业单位医疗(款)公务员医疗补助(项):2023年预算数为12.45万元，比上年预算增加0.09万元，增长0.73%，主要原因是：本年度工资调标，公务员医疗补助基数增加，致使公务员医疗补助随之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农林水支出(类)农业农村(款)行政运行(项):2023年预算数为70.71万元，比上年预算减少22.00万元，下降23.73%，主要原因是：本年度农林水支出(类)农业农村(款)行政运行(项)功能科目包含公用经费，2023年预算将公用经费全部纳入政府，2023年该功能科目只包含人员类支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农林水支出(类)农业农村(款)事业运行(项):2023年预算数为430.45万元，比上年预算增加171.85万元，增长66.45%，主要原因是：按上级要求，2023年将所有事业单位工资福利支出列入农林水科目下，故该科目本年预算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17.农林水支出(类)农村综合改革(款)对村民委员会和村党支部的补助(项):2023年预算数为96.00万元，比上年预算减少211.26万元，下降68.76%，主要原因是：本年度我单位村干部基础报酬预算安排资金减少。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18.住房保障支出(类)住房改革支出(款)住房公积金(项):2023年预算数为85.28万元，比上年预算增加20.57万元，增长31.79%，主要原因是：基本工资调标，使住房公积金基数增加。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19.其他支出(类)其他支出(款)其他支出(项):2023年预算数为28.68万元，比上年预算减少14.95万元，下降34.27%，主要原因是：本年度我单位驻村干部人员减少，故相应预算减少。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20.文化旅游体育与传媒支出(类)文化和旅游(款)群众文化(项):2023年预算数为0.00万元，比上年预算减少40.01万元，下降100%，主要原因是：按上级要求，本年度停用该功能科目。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社会保障和就业支出(类)人力资源和社会保障管理事务(款)其他人力资源和社会保障管理事务支出(项):2023年预算数为0.00万元，比上年预算减少37.47万元，下降100%，主要原因是：按上级要求，本年度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22.卫生健康支出(类)计划生育事务(款)计划生育服务(项):2023年预算数为0.00万元，比上年预算减少11.40万元，下降100%，主要原因是：按上级要求，本年度停用该功能科目。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23.城乡社区支出(类)城乡社区管理事务(款)其他城乡社区管理事务支出(项):2023年预算数为0.00万元，比上年预算减少33.51万元，下降100%，主要原因是：按上级要求，本年度停用该功能科目。</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沙湾市柳毛湾镇人民政府2023</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沙湾市柳毛湾镇人民政府2023年一般公共预算基本支出1079.24万元，其中：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936.29万元,主要包括:基本工资、津贴补贴、奖金、绩效工资、机关事业单位基本养老保险缴费、职业年金缴费、职工基本医疗保险缴费、公务员医疗补助缴费、其他社会保障缴费、住房公积金、退休费、生活补助、其他对个人和家庭的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公用经费142.95万元,主要包括:办公费、电费、邮电费、取暖费、差旅费、维修(护)费、培训费、公务接待费、劳务费、工会经费、福利费、公务用车运行维护费、其他商品和服务支出。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沙湾市柳毛湾镇人民政府2023</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1.项目名称：柳毛湾镇2023年伙食补助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设立的政策依据：市级配套资金—根据相关政策规定给予乡镇单位食堂的财政补贴</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预算安排规模：15.12万元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资金分配情况：基层伙食补助共计15.12万元，用于柳毛湾政府食堂，米面油菜肉等支出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2.项目名称：特定目标类项目1</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设立的政策依据：不予公开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沙湾县柳毛湾镇文化广场改造项目9万元，沙湾县柳毛湾镇柳青社区室内装修2万元、沙湾县柳毛湾镇办公楼维修、旧餐厅屋面维修、老财政所改造工程1万元、沙湾县柳毛湾镇政府办公楼维修工程8万元、沙湾县柳毛湾镇道路及路灯改造项目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3.项目名称：柳毛湾镇2023年三老人员生活补助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设立的政策依据：市级配套资金—根据相关政策规定给予乡镇单位三老人员生活补助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预算安排规模：107.43万元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资金分配情况：用于柳毛湾镇三老人员生活补助107.43万元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资金来源：市级配套资金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补贴人数：82人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补贴标准：三老人员生活补助1050元/月/人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补贴范围：柳毛湾镇19个村三老人员</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发放程序：资金下拨后，由镇、党建办上报人员名单，经分管领导审核，单位主要领导复核，再上报市组织部审批，最后经财政局审核进行发放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收益人群和社会效益：柳毛湾镇19个村三老人员，改善三老人员生活水平，提升幸福感</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4.项目名称：柳毛湾镇2023年自治区管委会工作经费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资金分配情况：用于柳毛湾镇管委会工作经费1万元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5.项目名称：柳毛湾镇2023年自治区管委会人员经费及保险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预算安排规模：0.03万元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资金分配情况：用于柳毛湾镇管委会人员经费及保险0.03万元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6.项目名称：柳毛湾镇2023年自治区管委会人员经费及保险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预算安排规模：0.36万元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资金分配情况：用于柳毛湾镇管委会人员经费及保险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7.项目名称：柳毛湾镇2023年管委会干部生活补助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设立的政策依据：市级配套资金—根据相关政策规定给予乡镇单位管委会干部生活补助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预算安排规模：2.16万元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8.项目名称：柳毛湾镇体制结算－美术馆、公共图书馆、文化馆[站]免费开放补助资金（中央）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设立的政策依据：塔地财教[2023]4号沙财教[2023]3号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预算安排规模：3万元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资金分配情况：用于柳毛湾镇2023年大盘美食文化节场地布置、灯光租赁及其他节庆用品支出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9.项目名称：柳毛湾镇自治区美术馆、公共图书馆文化馆免费开放补助资金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设立的政策依据：塔地财教[2023]17号沙财教[2023]8号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预算安排规模：0.5万元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资金分配情况：2023年柳毛湾镇群众春晚文艺汇演暨表彰活动，评选表彰先进典型20人，制作奖牌</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10.项目名称：柳毛湾镇2023年水管所、城建所差额工资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设立的政策依据：市级配套资金—根据政策要求乡镇差额单位在职干部工资按非统发60%发放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预算安排规模：44.04万元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资金分配情况：沙湾市柳毛湾镇2023年差额单位工资，共计13人，发放12个月，每月6.98万元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11.项目名称：柳毛湾镇2023年水管所、城建所差额工资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设立的政策依据：市级配套资金—根据政策要求乡镇差额单位在职干部工资按非统发60%发放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预算安排规模：26.14万元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资金分配情况：沙湾市柳毛湾镇2023年差额单位工资，共计13人，发放12个月，每月6.98万元。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12.项目名称：柳毛湾镇2023年水管所、城建所差额工资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设立的政策依据：市级配套资金—根据政策要求乡镇差额单位在职干部工资按统非统发60%发放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预算安排规模：9.64万元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资金分配情况：沙湾市柳毛湾镇2023年差额单位工资，共计13人，发放12个月，每月6.98万元。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13.项目名称：柳毛湾镇2023年水管所、城建所差额工资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设立的政策依据：市级配套资金—根据政策要求乡镇差额单位在职干部工资按非统发60%发放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预算安排规模：19.55万元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资金分配情况：沙湾市柳毛湾镇2023年差额单位工资，共计13人，发放12个月，每月6.98万元。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14.项目名称：柳毛湾镇2023年村干部报酬</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设立的政策依据：塔地组干明字【2021】27号文件</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预算安排规模：96万元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资金分配情况：用于柳毛湾镇19个村村干部59人基础报酬支出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资金来源：市级配套资金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补贴人数：59人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补贴标准：财政承担每月支付8万元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补贴范围：柳毛湾镇19个村村干部59人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发放程序：资金下拨后，由镇、党建办上报人员名单，经分管领导审核，单位主要领导复核，再上报市组织部审批，最后经财政局审核进行发放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收益人群和社会效益：柳毛湾镇19个村村干部59人，提高村干部积极性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15.项目名称：柳毛湾镇2023年驻村干部生活补助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设立的政策依据：不予公开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预算安排规模：28.68万元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项目承担单位：沙湾市柳毛湾镇人民政府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资金分配情况：用于柳毛湾镇驻村干部生活补助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资金来源：市级配套资金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补贴人数：59人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补贴标准：3030元/月/人*12月=36360元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补贴范围：柳毛湾镇19个村村干部59人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发放程序：资金下拨后，由镇、党建办上报人员名单，经分管领导审核，单位主要领导复核，再上报市组织部审批，最后经财政局审核进行发放</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收益人群和社会效益：柳毛湾镇19个村村干部59人，提高我镇驻村干部生活水平</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八、关于沙湾市柳毛湾镇人民政府2023年政府性基金预算拨款情况说明</w:t>
      </w:r>
    </w:p>
    <w:p>
      <w:pPr>
        <w:spacing w:line="560" w:lineRule="exact"/>
        <w:ind w:left="420" w:firstLine="420"/>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九、关于沙湾市柳毛湾镇人民政府2023年国有资本经营预算拨款情况说明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沙湾市柳毛湾镇人民政府2023年没有使用国有资本经营预算拨款安排的支出，国有资本经营预算支出情况表为空表。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十、关于沙湾市柳毛湾镇人民政府2023年财政拨款“三公”经费预算情况说明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沙湾市柳毛湾镇人民政府2023年财政拨款“三公”经费数为11.00万元，其中：因公出国（境）费0.00万元，公务用车购置费0.00万元，公务用车运行费10.00万元，公务接待费1.00万元。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三公”经费比上年预算减少0.10万元，下降0.9%，其中：因公出国（境）费增加0.00万元，增长0%,主要原因是2023年我单位因公出国（境）费0.00万元,未安排预算;公务用车购置费增加0.00万元，增长0%,主要原因是2023年我单位公务用车购置费0.00万元,未安排预算;公务用车运行费增加0.00万元，增长0%,主要原因是与上年一致，无变化;公务接待费减少0.10万元，下降9.09%,主要原因是严控接待次数及人次，厉行节约。</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十一、其他重要事项的情况说明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（一）机关运行经费情况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2023年，沙湾市柳毛湾镇人民政府本级及下属0家行政单位和0家事业单位的机关运行经费财政拨款预算142.95万元，比上年预算增加24.05万元，增长20.23%。主要原因是2023年机关福利费、工会经费、取暖费增加。</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2023年，沙湾市柳毛湾镇人民政府政府采购预算0.2万元，其中：政府采购货物预算0.2万元，政府采购工程预算0万元，政府采购服务预算0万元。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2023年度本单位面向中小企业预留政府采购项目预算金额0.2万元，其中：面向小微企业预留政府采购项目预算金额0.2万元。</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截至2022年底，沙湾市柳毛湾镇人民政府及下属各预算单位占用使用国有资产总体情况为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1.房屋7709.41平方米，价值531.47万元。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2.车辆11辆，价值145.18万元；其中：一般公务用车3辆，价值61.42万元；执法执勤用车0辆，价值0万元；其他车辆7辆，价值83.76万元。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3.办公家具价值45.88万元。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4.其他资产价值345.64万元。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2023年度，本年度预算绩效管理的财政拨款项目1</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个，涉及预算金额376.65万元；非财政拨款项目0个，涉及预算金额0万元。具体情况见下表（按项目分别填报）：</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柳毛湾镇2023年村干部报酬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潘存亮</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2023年12月20日前，完成发放55名村干部工资报酬，金额为96万元，预期村干部生活补助覆盖率达到100%，村干部生活补助月发放金额1356元/月/人，提高村干部工作积极性，改善村干部生活水平。</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享受村干部生活补助人数（人）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&gt;=59人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村干部生活补助覆盖率（%）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村干部生活补助月发放金额（元/月/人）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=1356元/月/人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提高人民群众精神文化生活</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柳毛湾镇2023年驻村干部生活补助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潘存亮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28.68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28.68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20日前，完成13名驻村干部工资发放，金额为28.68万元，预期达到访惠聚发放补助覆盖率100%，驻村干部生活补助月发放标准1838元/人/月，提高公共文化服务水平为扎根基层服务群众提供物质保证，强化基层筑牢群众基础。</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访惠聚发放补助覆盖率（%）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访惠聚人员补助发放及时率（%）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访惠聚生活补助月发放标准（元/人/月）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=1838元/人/月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提高访惠聚工作队工作积极性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访惠聚工作队员满意度（%）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100" w:type="dxa"/>
        <w:jc w:val="center"/>
        <w:tblLayout w:type="fixed"/>
        <w:tblCellMar>
          <w:top w:w="0" w:type="dxa"/>
          <w:left w:w="108" w:type="dxa"/>
          <w:bottom w:w="0" w:type="dxa"/>
          <w:right w:w="108" w:type="dxa"/>
        </w:tblCellMar>
      </w:tblPr>
      <w:tblGrid>
        <w:gridCol w:w="1020"/>
        <w:gridCol w:w="1020"/>
        <w:gridCol w:w="1221"/>
        <w:gridCol w:w="819"/>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柳毛湾镇2023年三老人员生活补助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潘存亮</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2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107.43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107.43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20日前完成对65人三老人员及13人四老人员生活补助107.43万元的发放，预期补助发放覆盖率达到100%，补助资金发放到位及时率100%，三老、四老人员生活补助月发放金额1377元/人/月，项目的实施保障三老、四老人员收入，提高三老、四老人员生活水平。</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2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1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22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三老人员享受补助人数（人）</w:t>
            </w:r>
          </w:p>
        </w:tc>
        <w:tc>
          <w:tcPr>
            <w:tcW w:w="81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=65人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8</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四老人员享受补助人数（人）</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=13人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三老、四老人员补助覆盖率（%）</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三老、四老人员补助资金发放到位及时率（%）</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资金支付完成时间（年月日）</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三老、四老人员生活补助月发放金额（元/人/月）</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=1377元/人/月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提高三老、四老生活水平</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2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三老、四老人员满意度（%）</w:t>
            </w:r>
          </w:p>
        </w:tc>
        <w:tc>
          <w:tcPr>
            <w:tcW w:w="8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柳毛湾镇2023年管委会干部生活补助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潘存亮</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3.5</w:t>
            </w:r>
            <w:r>
              <w:rPr>
                <w:rFonts w:hint="eastAsia" w:ascii="宋体" w:hAnsi="宋体" w:cs="宋体"/>
                <w:kern w:val="0"/>
                <w:sz w:val="18"/>
                <w:szCs w:val="18"/>
                <w:lang w:val="en-US" w:eastAsia="zh-CN"/>
              </w:rPr>
              <w:t>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3.5</w:t>
            </w:r>
            <w:r>
              <w:rPr>
                <w:rFonts w:hint="eastAsia" w:ascii="宋体" w:hAnsi="宋体" w:cs="宋体"/>
                <w:kern w:val="0"/>
                <w:sz w:val="18"/>
                <w:szCs w:val="18"/>
                <w:lang w:val="en-US" w:eastAsia="zh-CN"/>
              </w:rPr>
              <w:t>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2023年12月20日前，完成对1名管委会干部生活补助，金额为3.5</w:t>
            </w:r>
            <w:r>
              <w:rPr>
                <w:rFonts w:hint="eastAsia" w:ascii="宋体" w:hAnsi="宋体" w:cs="宋体"/>
                <w:kern w:val="0"/>
                <w:sz w:val="18"/>
                <w:szCs w:val="18"/>
                <w:lang w:val="en-US" w:eastAsia="zh-CN"/>
              </w:rPr>
              <w:t>2</w:t>
            </w:r>
            <w:r>
              <w:rPr>
                <w:rFonts w:hint="eastAsia" w:ascii="宋体" w:hAnsi="宋体" w:cs="宋体"/>
                <w:kern w:val="0"/>
                <w:sz w:val="18"/>
                <w:szCs w:val="18"/>
              </w:rPr>
              <w:t>万元，管委会干部月发放标准2958元/人/月，预期补助资金发放到位及时率100%，为提升柳毛湾镇人民群众的自身修养，保障公民基本文化权益，为提高公民鉴赏能力发挥了重要作用。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直接赋分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管委会干部月发放标准（元/人/月）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=2958元/人/月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改善管委会干部生活条件</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bl>
    <w:p>
      <w:pPr>
        <w:rPr>
          <w:rFonts w:ascii="楷体_GB2312" w:hAnsi="宋体" w:eastAsia="楷体_GB2312" w:cs="宋体"/>
          <w:b/>
          <w:kern w:val="0"/>
          <w:sz w:val="32"/>
          <w:szCs w:val="32"/>
        </w:rPr>
      </w:pPr>
      <w:r>
        <w:rPr>
          <w:rFonts w:ascii="楷体_GB2312" w:hAnsi="宋体" w:eastAsia="楷体_GB2312" w:cs="宋体"/>
          <w:b/>
          <w:kern w:val="0"/>
          <w:sz w:val="32"/>
          <w:szCs w:val="32"/>
        </w:rPr>
        <w:br w:type="textWrapping"/>
      </w:r>
    </w:p>
    <w:p>
      <w:pPr>
        <w:rPr>
          <w:rFonts w:ascii="楷体_GB2312" w:hAnsi="宋体" w:eastAsia="楷体_GB2312" w:cs="宋体"/>
          <w:b/>
          <w:kern w:val="0"/>
          <w:sz w:val="32"/>
          <w:szCs w:val="32"/>
        </w:rPr>
      </w:pPr>
    </w:p>
    <w:p>
      <w:pPr>
        <w:rPr>
          <w:rFonts w:ascii="楷体_GB2312" w:hAnsi="宋体" w:eastAsia="楷体_GB2312" w:cs="宋体"/>
          <w:b/>
          <w:kern w:val="0"/>
          <w:sz w:val="32"/>
          <w:szCs w:val="32"/>
        </w:rPr>
      </w:pP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柳毛湾镇体制结算－美术馆、公共图书馆、文化馆[站]免费开放补助资金（中央）</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潘存亮</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20日前完成对19个村队文化站免费开放补助资金3万元的支付，项目的实施有效提升柳毛湾镇人民群众的自身修养，保障公民基本文化权益，为提高公民鉴赏能力发挥了重要作用提升柳毛湾镇人民群众的自身修养，保障公民基本文化权益，为提高公民鉴赏能力发挥了重要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项目涉及村队个数（个）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=19个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项目支出金额（万元）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=3万元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提高人民群众精神文化生活</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村队村民满意度（%）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bl>
    <w:p>
      <w:pPr>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塔地财教【2023】17号沙财教【2023】8号自治区美术馆、公共图书馆、文化馆免费开放补助资金（柳毛湾镇）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潘存亮</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2023年12月20日之前，完成商户地乡免费图书馆、文化馆经费资金5000元支付工作，通过项目的实施预期达到提升商户地乡人民群众的自身修养，保障公民基本文化权益，为提高公民鉴赏能力发挥了重要作用的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免费文化馆、图书馆项目涉及站所、村队（个）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&lt;=0.5万元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提高文化宣传力度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tbl>
      <w:tblPr>
        <w:tblStyle w:val="4"/>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沙湾市柳毛湾镇财政所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塔地财行【2022】55号沙财行【2022】21号提前下达2023年自治区管委会经费及保险（柳毛湾镇）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潘存亮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2023年12月20日之前支付0.03万元，完成管委会经费的发放工作及购买保险，为1名管委会干部生活补助金额0.03万元，购买人身保险1200元等费用，通过项目的实施预期达到保障干部人身安全的效果。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管委会经费补助人数（人）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12</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14</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补助资金发放金额（万元）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&lt;=0.03万元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干部人身保险费（元/人/年）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=600元/人/年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center"/>
        <w:textAlignment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项目支出绩效目标表</w:t>
      </w:r>
    </w:p>
    <w:tbl>
      <w:tblPr>
        <w:tblStyle w:val="4"/>
        <w:tblW w:w="8854" w:type="dxa"/>
        <w:tblInd w:w="-17" w:type="dxa"/>
        <w:tblLayout w:type="fixed"/>
        <w:tblCellMar>
          <w:top w:w="0" w:type="dxa"/>
          <w:left w:w="108" w:type="dxa"/>
          <w:bottom w:w="0" w:type="dxa"/>
          <w:right w:w="108" w:type="dxa"/>
        </w:tblCellMar>
      </w:tblPr>
      <w:tblGrid>
        <w:gridCol w:w="676"/>
        <w:gridCol w:w="713"/>
        <w:gridCol w:w="1411"/>
        <w:gridCol w:w="960"/>
        <w:gridCol w:w="850"/>
        <w:gridCol w:w="624"/>
        <w:gridCol w:w="278"/>
        <w:gridCol w:w="544"/>
        <w:gridCol w:w="970"/>
        <w:gridCol w:w="1828"/>
      </w:tblGrid>
      <w:tr>
        <w:tblPrEx>
          <w:tblCellMar>
            <w:top w:w="0" w:type="dxa"/>
            <w:left w:w="108" w:type="dxa"/>
            <w:bottom w:w="0" w:type="dxa"/>
            <w:right w:w="108" w:type="dxa"/>
          </w:tblCellMar>
        </w:tblPrEx>
        <w:trPr>
          <w:trHeight w:val="420" w:hRule="atLeast"/>
        </w:trPr>
        <w:tc>
          <w:tcPr>
            <w:tcW w:w="8854" w:type="dxa"/>
            <w:gridSpan w:val="10"/>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(2023年)</w:t>
            </w:r>
          </w:p>
        </w:tc>
      </w:tr>
      <w:tr>
        <w:tblPrEx>
          <w:tblCellMar>
            <w:top w:w="0" w:type="dxa"/>
            <w:left w:w="108" w:type="dxa"/>
            <w:bottom w:w="0" w:type="dxa"/>
            <w:right w:w="108" w:type="dxa"/>
          </w:tblCellMar>
        </w:tblPrEx>
        <w:trPr>
          <w:trHeight w:val="48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沙湾市柳毛湾镇人民政府</w:t>
            </w:r>
          </w:p>
        </w:tc>
      </w:tr>
      <w:tr>
        <w:tblPrEx>
          <w:tblCellMar>
            <w:top w:w="0" w:type="dxa"/>
            <w:left w:w="108" w:type="dxa"/>
            <w:bottom w:w="0" w:type="dxa"/>
            <w:right w:w="108" w:type="dxa"/>
          </w:tblCellMar>
        </w:tblPrEx>
        <w:trPr>
          <w:trHeight w:val="46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沙湾市柳毛湾镇2023年伙食补助</w:t>
            </w:r>
          </w:p>
        </w:tc>
        <w:tc>
          <w:tcPr>
            <w:tcW w:w="14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ascii="宋体" w:hAnsi="宋体" w:cs="宋体"/>
                <w:color w:val="000000"/>
                <w:sz w:val="22"/>
                <w:szCs w:val="22"/>
              </w:rPr>
              <w:t>潘存亮</w:t>
            </w:r>
          </w:p>
        </w:tc>
      </w:tr>
      <w:tr>
        <w:tblPrEx>
          <w:tblCellMar>
            <w:top w:w="0" w:type="dxa"/>
            <w:left w:w="108" w:type="dxa"/>
            <w:bottom w:w="0" w:type="dxa"/>
            <w:right w:w="108" w:type="dxa"/>
          </w:tblCellMar>
        </w:tblPrEx>
        <w:trPr>
          <w:trHeight w:val="60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15.12</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其中：财政拨款</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15.12</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w:t>
            </w:r>
          </w:p>
        </w:tc>
      </w:tr>
      <w:tr>
        <w:tblPrEx>
          <w:tblCellMar>
            <w:top w:w="0" w:type="dxa"/>
            <w:left w:w="108" w:type="dxa"/>
            <w:bottom w:w="0" w:type="dxa"/>
            <w:right w:w="108" w:type="dxa"/>
          </w:tblCellMar>
        </w:tblPrEx>
        <w:trPr>
          <w:trHeight w:val="96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65" w:type="dxa"/>
            <w:gridSpan w:val="8"/>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22"/>
                <w:szCs w:val="22"/>
              </w:rPr>
            </w:pPr>
            <w:r>
              <w:rPr>
                <w:rFonts w:hint="eastAsia" w:ascii="宋体" w:hAnsi="宋体" w:cs="宋体"/>
                <w:color w:val="000000"/>
                <w:kern w:val="0"/>
                <w:sz w:val="20"/>
                <w:szCs w:val="20"/>
              </w:rPr>
              <w:t>2023年12月25日之前，完成柳毛湾镇76名在职干部伙食补助共15.12万元支付工作，资金发放及时率100%，资金覆盖率100%。通过项目的实施预期达到为提供物资、伙食保障，提高工作积极性的效果。</w:t>
            </w:r>
          </w:p>
        </w:tc>
      </w:tr>
      <w:tr>
        <w:tblPrEx>
          <w:tblCellMar>
            <w:top w:w="0" w:type="dxa"/>
            <w:left w:w="108" w:type="dxa"/>
            <w:bottom w:w="0" w:type="dxa"/>
            <w:right w:w="108" w:type="dxa"/>
          </w:tblCellMar>
        </w:tblPrEx>
        <w:trPr>
          <w:trHeight w:val="640" w:hRule="atLeast"/>
        </w:trPr>
        <w:tc>
          <w:tcPr>
            <w:tcW w:w="67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822"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00" w:hRule="atLeast"/>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发放伙食补助人数（人）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=76人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资金覆盖率（%）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2023年12月25日前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=150元/月/人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原始凭证</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说明材料</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干部满意度（%）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说明材料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center"/>
        <w:textAlignment w:val="center"/>
        <w:rPr>
          <w:rFonts w:ascii="宋体" w:hAnsi="宋体" w:cs="宋体"/>
          <w:color w:val="000000"/>
          <w:kern w:val="0"/>
          <w:sz w:val="24"/>
        </w:rPr>
      </w:pPr>
      <w:r>
        <w:rPr>
          <w:rFonts w:hint="eastAsia" w:ascii="宋体" w:hAnsi="宋体" w:cs="宋体"/>
          <w:b/>
          <w:bCs/>
          <w:color w:val="000000"/>
          <w:kern w:val="0"/>
          <w:sz w:val="32"/>
          <w:szCs w:val="32"/>
        </w:rPr>
        <w:t>项目支出绩效目标表</w:t>
      </w:r>
    </w:p>
    <w:tbl>
      <w:tblPr>
        <w:tblStyle w:val="4"/>
        <w:tblW w:w="10915" w:type="dxa"/>
        <w:tblInd w:w="-1168" w:type="dxa"/>
        <w:tblLayout w:type="fixed"/>
        <w:tblCellMar>
          <w:top w:w="0" w:type="dxa"/>
          <w:left w:w="108" w:type="dxa"/>
          <w:bottom w:w="0" w:type="dxa"/>
          <w:right w:w="108" w:type="dxa"/>
        </w:tblCellMar>
      </w:tblPr>
      <w:tblGrid>
        <w:gridCol w:w="1099"/>
        <w:gridCol w:w="1237"/>
        <w:gridCol w:w="2600"/>
        <w:gridCol w:w="971"/>
        <w:gridCol w:w="915"/>
        <w:gridCol w:w="592"/>
        <w:gridCol w:w="578"/>
        <w:gridCol w:w="939"/>
        <w:gridCol w:w="1984"/>
      </w:tblGrid>
      <w:tr>
        <w:tblPrEx>
          <w:tblCellMar>
            <w:top w:w="0" w:type="dxa"/>
            <w:left w:w="108" w:type="dxa"/>
            <w:bottom w:w="0" w:type="dxa"/>
            <w:right w:w="108" w:type="dxa"/>
          </w:tblCellMar>
        </w:tblPrEx>
        <w:trPr>
          <w:trHeight w:val="203" w:hRule="atLeast"/>
        </w:trPr>
        <w:tc>
          <w:tcPr>
            <w:tcW w:w="10915"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(2023年)</w:t>
            </w:r>
          </w:p>
        </w:tc>
      </w:tr>
      <w:tr>
        <w:tblPrEx>
          <w:tblCellMar>
            <w:top w:w="0" w:type="dxa"/>
            <w:left w:w="108" w:type="dxa"/>
            <w:bottom w:w="0" w:type="dxa"/>
            <w:right w:w="108" w:type="dxa"/>
          </w:tblCellMar>
        </w:tblPrEx>
        <w:trPr>
          <w:trHeight w:val="324" w:hRule="atLeast"/>
        </w:trPr>
        <w:tc>
          <w:tcPr>
            <w:tcW w:w="23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857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18"/>
                <w:szCs w:val="20"/>
              </w:rPr>
              <w:t>沙湾市柳毛湾镇人民政府</w:t>
            </w:r>
          </w:p>
        </w:tc>
      </w:tr>
      <w:tr>
        <w:tblPrEx>
          <w:tblCellMar>
            <w:top w:w="0" w:type="dxa"/>
            <w:left w:w="108" w:type="dxa"/>
            <w:bottom w:w="0" w:type="dxa"/>
            <w:right w:w="108" w:type="dxa"/>
          </w:tblCellMar>
        </w:tblPrEx>
        <w:trPr>
          <w:trHeight w:val="273" w:hRule="atLeast"/>
        </w:trPr>
        <w:tc>
          <w:tcPr>
            <w:tcW w:w="23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44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0"/>
                <w:szCs w:val="20"/>
              </w:rPr>
              <w:t>特定目标类项目</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ascii="宋体" w:hAnsi="宋体" w:cs="宋体"/>
                <w:color w:val="000000"/>
                <w:sz w:val="22"/>
                <w:szCs w:val="22"/>
              </w:rPr>
              <w:t>潘存亮</w:t>
            </w:r>
          </w:p>
        </w:tc>
      </w:tr>
      <w:tr>
        <w:tblPrEx>
          <w:tblCellMar>
            <w:top w:w="0" w:type="dxa"/>
            <w:left w:w="108" w:type="dxa"/>
            <w:bottom w:w="0" w:type="dxa"/>
            <w:right w:w="108" w:type="dxa"/>
          </w:tblCellMar>
        </w:tblPrEx>
        <w:trPr>
          <w:trHeight w:val="555" w:hRule="atLeast"/>
        </w:trPr>
        <w:tc>
          <w:tcPr>
            <w:tcW w:w="23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23</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5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23</w:t>
            </w:r>
          </w:p>
        </w:tc>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w:t>
            </w:r>
          </w:p>
        </w:tc>
      </w:tr>
      <w:tr>
        <w:tblPrEx>
          <w:tblCellMar>
            <w:top w:w="0" w:type="dxa"/>
            <w:left w:w="108" w:type="dxa"/>
            <w:bottom w:w="0" w:type="dxa"/>
            <w:right w:w="108" w:type="dxa"/>
          </w:tblCellMar>
        </w:tblPrEx>
        <w:trPr>
          <w:trHeight w:val="624" w:hRule="atLeast"/>
        </w:trPr>
        <w:tc>
          <w:tcPr>
            <w:tcW w:w="23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8579" w:type="dxa"/>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textAlignment w:val="top"/>
              <w:rPr>
                <w:rFonts w:ascii="宋体" w:hAnsi="宋体" w:cs="宋体"/>
                <w:color w:val="000000"/>
                <w:sz w:val="18"/>
                <w:szCs w:val="18"/>
              </w:rPr>
            </w:pPr>
            <w:r>
              <w:rPr>
                <w:rFonts w:hint="eastAsia" w:ascii="宋体" w:hAnsi="宋体" w:cs="宋体"/>
                <w:color w:val="000000"/>
                <w:kern w:val="0"/>
                <w:sz w:val="15"/>
                <w:szCs w:val="18"/>
              </w:rPr>
              <w:t>计划于2023年12月20日前，完成支付项目资金23万元，完成化债项目数5个，分别</w:t>
            </w:r>
            <w:r>
              <w:rPr>
                <w:rFonts w:hint="eastAsia" w:cs="宋体" w:asciiTheme="minorEastAsia" w:hAnsiTheme="minorEastAsia" w:eastAsiaTheme="minorEastAsia"/>
                <w:color w:val="000000"/>
                <w:kern w:val="0"/>
                <w:sz w:val="15"/>
                <w:szCs w:val="18"/>
              </w:rPr>
              <w:t>是：</w:t>
            </w:r>
            <w:r>
              <w:rPr>
                <w:rFonts w:hint="eastAsia" w:asciiTheme="minorEastAsia" w:hAnsiTheme="minorEastAsia" w:eastAsiaTheme="minorEastAsia"/>
                <w:sz w:val="15"/>
                <w:szCs w:val="18"/>
              </w:rPr>
              <w:t>沙湾县柳毛湾镇文化广场改造项目、沙湾县柳毛湾镇柳青社区室内装修项目、沙湾县柳毛湾镇办公楼维修、旧餐厅屋面维修、老财政所改造工程项目、沙湾县柳毛湾镇政府办公楼维修工程项目、沙湾县柳毛湾镇道路及路灯改造项目</w:t>
            </w:r>
            <w:r>
              <w:rPr>
                <w:rFonts w:hint="eastAsia" w:cs="宋体" w:asciiTheme="minorEastAsia" w:hAnsiTheme="minorEastAsia" w:eastAsiaTheme="minorEastAsia"/>
                <w:color w:val="000000"/>
                <w:kern w:val="0"/>
                <w:sz w:val="15"/>
                <w:szCs w:val="18"/>
              </w:rPr>
              <w:t>。通过柳毛湾镇</w:t>
            </w:r>
            <w:r>
              <w:rPr>
                <w:rFonts w:hint="eastAsia" w:ascii="宋体" w:hAnsi="宋体" w:cs="宋体"/>
                <w:color w:val="000000"/>
                <w:kern w:val="0"/>
                <w:sz w:val="15"/>
                <w:szCs w:val="18"/>
              </w:rPr>
              <w:t>政府特定目标类项目的完成解决了问题，政企关系得到持续改善，提高了政府公信力。</w:t>
            </w:r>
          </w:p>
        </w:tc>
      </w:tr>
      <w:tr>
        <w:tblPrEx>
          <w:tblCellMar>
            <w:top w:w="0" w:type="dxa"/>
            <w:left w:w="108" w:type="dxa"/>
            <w:bottom w:w="0" w:type="dxa"/>
            <w:right w:w="108" w:type="dxa"/>
          </w:tblCellMar>
        </w:tblPrEx>
        <w:trPr>
          <w:trHeight w:val="820" w:hRule="atLeast"/>
        </w:trPr>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5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6"/>
                <w:szCs w:val="16"/>
              </w:rPr>
              <w:t>指标分值权重</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770" w:hRule="atLeast"/>
        </w:trPr>
        <w:tc>
          <w:tcPr>
            <w:tcW w:w="10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产出指标</w:t>
            </w: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数量指标</w:t>
            </w: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支付项目个数（个）</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=5个</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12</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工作资料</w:t>
            </w:r>
          </w:p>
        </w:tc>
      </w:tr>
      <w:tr>
        <w:tblPrEx>
          <w:tblCellMar>
            <w:top w:w="0" w:type="dxa"/>
            <w:left w:w="108" w:type="dxa"/>
            <w:bottom w:w="0" w:type="dxa"/>
            <w:right w:w="108" w:type="dxa"/>
          </w:tblCellMar>
        </w:tblPrEx>
        <w:trPr>
          <w:trHeight w:val="273" w:hRule="atLeast"/>
        </w:trPr>
        <w:tc>
          <w:tcPr>
            <w:tcW w:w="10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质量指标</w:t>
            </w: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资金支付规范率（%）</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=100%</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14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工作资料</w:t>
            </w:r>
          </w:p>
        </w:tc>
      </w:tr>
      <w:tr>
        <w:tblPrEx>
          <w:tblCellMar>
            <w:top w:w="0" w:type="dxa"/>
            <w:left w:w="108" w:type="dxa"/>
            <w:bottom w:w="0" w:type="dxa"/>
            <w:right w:w="108" w:type="dxa"/>
          </w:tblCellMar>
        </w:tblPrEx>
        <w:trPr>
          <w:trHeight w:val="573" w:hRule="atLeast"/>
        </w:trPr>
        <w:tc>
          <w:tcPr>
            <w:tcW w:w="10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时效指标</w:t>
            </w: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资金完成时间</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2023年12月20日前</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14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工作资料</w:t>
            </w:r>
          </w:p>
        </w:tc>
      </w:tr>
      <w:tr>
        <w:tblPrEx>
          <w:tblCellMar>
            <w:top w:w="0" w:type="dxa"/>
            <w:left w:w="108" w:type="dxa"/>
            <w:bottom w:w="0" w:type="dxa"/>
            <w:right w:w="108" w:type="dxa"/>
          </w:tblCellMar>
        </w:tblPrEx>
        <w:trPr>
          <w:trHeight w:val="560" w:hRule="atLeast"/>
        </w:trPr>
        <w:tc>
          <w:tcPr>
            <w:tcW w:w="1099"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成本指标</w:t>
            </w:r>
          </w:p>
        </w:tc>
        <w:tc>
          <w:tcPr>
            <w:tcW w:w="1237"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经济成本指标</w:t>
            </w: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asciiTheme="minorEastAsia" w:hAnsiTheme="minorEastAsia" w:eastAsiaTheme="minorEastAsia"/>
                <w:sz w:val="15"/>
                <w:szCs w:val="18"/>
              </w:rPr>
              <w:t>沙湾县柳毛湾镇文化广场改造项目</w:t>
            </w:r>
            <w:r>
              <w:rPr>
                <w:rFonts w:hint="eastAsia" w:cs="宋体" w:asciiTheme="minorEastAsia" w:hAnsiTheme="minorEastAsia" w:eastAsiaTheme="minorEastAsia"/>
                <w:color w:val="000000"/>
                <w:kern w:val="0"/>
                <w:sz w:val="15"/>
                <w:szCs w:val="18"/>
              </w:rPr>
              <w:t>金额（万元）</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&lt;=9万元</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原始凭证</w:t>
            </w:r>
          </w:p>
        </w:tc>
      </w:tr>
      <w:tr>
        <w:tblPrEx>
          <w:tblCellMar>
            <w:top w:w="0" w:type="dxa"/>
            <w:left w:w="108" w:type="dxa"/>
            <w:bottom w:w="0" w:type="dxa"/>
            <w:right w:w="108" w:type="dxa"/>
          </w:tblCellMar>
        </w:tblPrEx>
        <w:trPr>
          <w:trHeight w:val="533" w:hRule="atLeast"/>
        </w:trPr>
        <w:tc>
          <w:tcPr>
            <w:tcW w:w="1099"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kern w:val="0"/>
                <w:sz w:val="15"/>
                <w:szCs w:val="18"/>
              </w:rPr>
            </w:pPr>
            <w:r>
              <w:rPr>
                <w:rFonts w:hint="eastAsia" w:asciiTheme="minorEastAsia" w:hAnsiTheme="minorEastAsia" w:eastAsiaTheme="minorEastAsia"/>
                <w:sz w:val="15"/>
                <w:szCs w:val="18"/>
              </w:rPr>
              <w:t>沙湾县柳毛湾镇柳青社区室内装修项目</w:t>
            </w:r>
            <w:r>
              <w:rPr>
                <w:rFonts w:hint="eastAsia" w:cs="宋体" w:asciiTheme="minorEastAsia" w:hAnsiTheme="minorEastAsia" w:eastAsiaTheme="minorEastAsia"/>
                <w:color w:val="000000"/>
                <w:kern w:val="0"/>
                <w:sz w:val="15"/>
                <w:szCs w:val="18"/>
              </w:rPr>
              <w:t>金额（万元）</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&lt;=2万元</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按照评判等级赋分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kern w:val="0"/>
                <w:sz w:val="15"/>
                <w:szCs w:val="18"/>
              </w:rPr>
            </w:pPr>
            <w:r>
              <w:rPr>
                <w:rFonts w:hint="eastAsia" w:cs="宋体" w:asciiTheme="minorEastAsia" w:hAnsiTheme="minorEastAsia" w:eastAsiaTheme="minorEastAsia"/>
                <w:color w:val="000000"/>
                <w:kern w:val="0"/>
                <w:sz w:val="15"/>
                <w:szCs w:val="18"/>
              </w:rPr>
              <w:t>原始凭证</w:t>
            </w:r>
          </w:p>
        </w:tc>
      </w:tr>
      <w:tr>
        <w:tblPrEx>
          <w:tblCellMar>
            <w:top w:w="0" w:type="dxa"/>
            <w:left w:w="108" w:type="dxa"/>
            <w:bottom w:w="0" w:type="dxa"/>
            <w:right w:w="108" w:type="dxa"/>
          </w:tblCellMar>
        </w:tblPrEx>
        <w:trPr>
          <w:trHeight w:val="533" w:hRule="atLeast"/>
        </w:trPr>
        <w:tc>
          <w:tcPr>
            <w:tcW w:w="1099"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Theme="minorEastAsia" w:hAnsiTheme="minorEastAsia" w:eastAsiaTheme="minorEastAsia"/>
                <w:sz w:val="15"/>
                <w:szCs w:val="18"/>
              </w:rPr>
            </w:pPr>
            <w:r>
              <w:rPr>
                <w:rFonts w:hint="eastAsia" w:asciiTheme="minorEastAsia" w:hAnsiTheme="minorEastAsia" w:eastAsiaTheme="minorEastAsia"/>
                <w:sz w:val="15"/>
                <w:szCs w:val="18"/>
              </w:rPr>
              <w:t>沙湾县柳毛湾镇办公楼维修、旧餐厅屋面维修、老财政所改造工程项目</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&lt;=1万元</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原始凭证</w:t>
            </w:r>
          </w:p>
        </w:tc>
      </w:tr>
      <w:tr>
        <w:tblPrEx>
          <w:tblCellMar>
            <w:top w:w="0" w:type="dxa"/>
            <w:left w:w="108" w:type="dxa"/>
            <w:bottom w:w="0" w:type="dxa"/>
            <w:right w:w="108" w:type="dxa"/>
          </w:tblCellMar>
        </w:tblPrEx>
        <w:trPr>
          <w:trHeight w:val="752" w:hRule="atLeast"/>
        </w:trPr>
        <w:tc>
          <w:tcPr>
            <w:tcW w:w="1099"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vMerge w:val="continue"/>
            <w:tcBorders>
              <w:left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Theme="minorEastAsia" w:hAnsiTheme="minorEastAsia" w:eastAsiaTheme="minorEastAsia"/>
                <w:sz w:val="15"/>
                <w:szCs w:val="18"/>
              </w:rPr>
            </w:pPr>
            <w:r>
              <w:rPr>
                <w:rFonts w:hint="eastAsia" w:asciiTheme="minorEastAsia" w:hAnsiTheme="minorEastAsia" w:eastAsiaTheme="minorEastAsia"/>
                <w:sz w:val="15"/>
                <w:szCs w:val="18"/>
              </w:rPr>
              <w:t>沙湾县柳毛湾镇政府办公楼维修工程项目</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&lt;=8万元</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原始凭证</w:t>
            </w:r>
          </w:p>
        </w:tc>
      </w:tr>
      <w:tr>
        <w:tblPrEx>
          <w:tblCellMar>
            <w:top w:w="0" w:type="dxa"/>
            <w:left w:w="108" w:type="dxa"/>
            <w:bottom w:w="0" w:type="dxa"/>
            <w:right w:w="108" w:type="dxa"/>
          </w:tblCellMar>
        </w:tblPrEx>
        <w:trPr>
          <w:trHeight w:val="653" w:hRule="atLeast"/>
        </w:trPr>
        <w:tc>
          <w:tcPr>
            <w:tcW w:w="1099" w:type="dxa"/>
            <w:vMerge w:val="continue"/>
            <w:tcBorders>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1237" w:type="dxa"/>
            <w:vMerge w:val="continue"/>
            <w:tcBorders>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15"/>
                <w:szCs w:val="18"/>
              </w:rPr>
            </w:pP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Theme="minorEastAsia" w:hAnsiTheme="minorEastAsia" w:eastAsiaTheme="minorEastAsia"/>
                <w:sz w:val="15"/>
                <w:szCs w:val="18"/>
              </w:rPr>
            </w:pPr>
            <w:r>
              <w:rPr>
                <w:rFonts w:hint="eastAsia" w:asciiTheme="minorEastAsia" w:hAnsiTheme="minorEastAsia" w:eastAsiaTheme="minorEastAsia"/>
                <w:sz w:val="15"/>
                <w:szCs w:val="18"/>
              </w:rPr>
              <w:t>湾县柳毛湾镇道路及路灯改造项目</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&lt;=3万元</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4</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按照正常比例赋分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原始凭证</w:t>
            </w:r>
          </w:p>
        </w:tc>
      </w:tr>
      <w:tr>
        <w:tblPrEx>
          <w:tblCellMar>
            <w:top w:w="0" w:type="dxa"/>
            <w:left w:w="108" w:type="dxa"/>
            <w:bottom w:w="0" w:type="dxa"/>
            <w:right w:w="108" w:type="dxa"/>
          </w:tblCellMar>
        </w:tblPrEx>
        <w:trPr>
          <w:trHeight w:val="709" w:hRule="atLeast"/>
        </w:trPr>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效益指标</w:t>
            </w: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社会效益指标</w:t>
            </w:r>
          </w:p>
        </w:tc>
        <w:tc>
          <w:tcPr>
            <w:tcW w:w="2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提升政府公信力</w:t>
            </w:r>
          </w:p>
        </w:tc>
        <w:tc>
          <w:tcPr>
            <w:tcW w:w="97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有效提升</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cs="宋体" w:asciiTheme="minorEastAsia" w:hAnsiTheme="minorEastAsia" w:eastAsiaTheme="minorEastAsia"/>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20</w:t>
            </w:r>
          </w:p>
        </w:tc>
        <w:tc>
          <w:tcPr>
            <w:tcW w:w="93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按照评判等级赋分</w:t>
            </w:r>
          </w:p>
        </w:tc>
        <w:tc>
          <w:tcPr>
            <w:tcW w:w="19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cs="宋体" w:asciiTheme="minorEastAsia" w:hAnsiTheme="minorEastAsia" w:eastAsiaTheme="minorEastAsia"/>
                <w:color w:val="000000"/>
                <w:sz w:val="15"/>
                <w:szCs w:val="18"/>
              </w:rPr>
            </w:pPr>
            <w:r>
              <w:rPr>
                <w:rFonts w:hint="eastAsia" w:cs="宋体" w:asciiTheme="minorEastAsia" w:hAnsiTheme="minorEastAsia" w:eastAsiaTheme="minorEastAsia"/>
                <w:color w:val="000000"/>
                <w:kern w:val="0"/>
                <w:sz w:val="15"/>
                <w:szCs w:val="18"/>
              </w:rPr>
              <w:t>说明材料</w:t>
            </w:r>
          </w:p>
        </w:tc>
      </w:tr>
      <w:tr>
        <w:tblPrEx>
          <w:tblCellMar>
            <w:top w:w="0" w:type="dxa"/>
            <w:left w:w="108" w:type="dxa"/>
            <w:bottom w:w="0" w:type="dxa"/>
            <w:right w:w="108" w:type="dxa"/>
          </w:tblCellMar>
        </w:tblPrEx>
        <w:trPr>
          <w:trHeight w:val="558" w:hRule="atLeast"/>
        </w:trPr>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5"/>
                <w:szCs w:val="18"/>
              </w:rPr>
            </w:pPr>
            <w:r>
              <w:rPr>
                <w:rFonts w:hint="eastAsia" w:ascii="宋体" w:hAnsi="宋体" w:cs="宋体"/>
                <w:color w:val="000000"/>
                <w:kern w:val="0"/>
                <w:sz w:val="15"/>
                <w:szCs w:val="18"/>
              </w:rPr>
              <w:t>满意度指标</w:t>
            </w:r>
          </w:p>
        </w:tc>
        <w:tc>
          <w:tcPr>
            <w:tcW w:w="12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5"/>
                <w:szCs w:val="18"/>
              </w:rPr>
            </w:pPr>
            <w:r>
              <w:rPr>
                <w:rFonts w:hint="eastAsia" w:ascii="宋体" w:hAnsi="宋体" w:cs="宋体"/>
                <w:color w:val="000000"/>
                <w:kern w:val="0"/>
                <w:sz w:val="15"/>
                <w:szCs w:val="18"/>
              </w:rPr>
              <w:t>满意度指标</w:t>
            </w: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5"/>
                <w:szCs w:val="18"/>
              </w:rPr>
            </w:pPr>
            <w:r>
              <w:rPr>
                <w:rFonts w:hint="eastAsia" w:ascii="宋体" w:hAnsi="宋体" w:cs="宋体"/>
                <w:color w:val="000000"/>
                <w:kern w:val="0"/>
                <w:sz w:val="15"/>
                <w:szCs w:val="18"/>
              </w:rPr>
              <w:t>支付对象满意度（%）</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5"/>
                <w:szCs w:val="18"/>
              </w:rPr>
            </w:pPr>
            <w:r>
              <w:rPr>
                <w:rFonts w:hint="eastAsia" w:ascii="宋体" w:hAnsi="宋体" w:cs="宋体"/>
                <w:color w:val="000000"/>
                <w:kern w:val="0"/>
                <w:sz w:val="15"/>
                <w:szCs w:val="18"/>
              </w:rPr>
              <w:t>&gt;=95%</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5"/>
                <w:szCs w:val="18"/>
              </w:rPr>
            </w:pPr>
            <w:r>
              <w:rPr>
                <w:rFonts w:hint="eastAsia" w:ascii="宋体" w:hAnsi="宋体" w:cs="宋体"/>
                <w:color w:val="000000"/>
                <w:kern w:val="0"/>
                <w:sz w:val="15"/>
                <w:szCs w:val="18"/>
              </w:rPr>
              <w:t>计划标准</w:t>
            </w:r>
          </w:p>
        </w:tc>
        <w:tc>
          <w:tcPr>
            <w:tcW w:w="5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15"/>
                <w:szCs w:val="18"/>
              </w:rPr>
            </w:pPr>
          </w:p>
        </w:tc>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5"/>
                <w:szCs w:val="18"/>
              </w:rPr>
            </w:pPr>
            <w:r>
              <w:rPr>
                <w:rFonts w:hint="eastAsia" w:ascii="宋体" w:hAnsi="宋体" w:cs="宋体"/>
                <w:color w:val="000000"/>
                <w:kern w:val="0"/>
                <w:sz w:val="15"/>
                <w:szCs w:val="18"/>
              </w:rPr>
              <w:t>10</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5"/>
                <w:szCs w:val="18"/>
              </w:rPr>
            </w:pPr>
            <w:r>
              <w:rPr>
                <w:rFonts w:hint="eastAsia" w:ascii="宋体" w:hAnsi="宋体" w:cs="宋体"/>
                <w:color w:val="000000"/>
                <w:kern w:val="0"/>
                <w:sz w:val="15"/>
                <w:szCs w:val="18"/>
              </w:rPr>
              <w:t>按照满意度赋分</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5"/>
                <w:szCs w:val="18"/>
              </w:rPr>
            </w:pPr>
            <w:r>
              <w:rPr>
                <w:rFonts w:hint="eastAsia" w:ascii="宋体" w:hAnsi="宋体" w:cs="宋体"/>
                <w:color w:val="000000"/>
                <w:kern w:val="0"/>
                <w:sz w:val="15"/>
                <w:szCs w:val="18"/>
              </w:rPr>
              <w:t>说明材料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widowControl/>
        <w:jc w:val="center"/>
        <w:textAlignment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项目支出绩效目标表</w:t>
      </w:r>
    </w:p>
    <w:tbl>
      <w:tblPr>
        <w:tblStyle w:val="4"/>
        <w:tblW w:w="8963" w:type="dxa"/>
        <w:tblInd w:w="-17" w:type="dxa"/>
        <w:tblLayout w:type="fixed"/>
        <w:tblCellMar>
          <w:top w:w="0" w:type="dxa"/>
          <w:left w:w="108" w:type="dxa"/>
          <w:bottom w:w="0" w:type="dxa"/>
          <w:right w:w="108" w:type="dxa"/>
        </w:tblCellMar>
      </w:tblPr>
      <w:tblGrid>
        <w:gridCol w:w="538"/>
        <w:gridCol w:w="996"/>
        <w:gridCol w:w="1680"/>
        <w:gridCol w:w="873"/>
        <w:gridCol w:w="1047"/>
        <w:gridCol w:w="785"/>
        <w:gridCol w:w="699"/>
        <w:gridCol w:w="1298"/>
        <w:gridCol w:w="1047"/>
      </w:tblGrid>
      <w:tr>
        <w:tblPrEx>
          <w:tblCellMar>
            <w:top w:w="0" w:type="dxa"/>
            <w:left w:w="108" w:type="dxa"/>
            <w:bottom w:w="0" w:type="dxa"/>
            <w:right w:w="108" w:type="dxa"/>
          </w:tblCellMar>
        </w:tblPrEx>
        <w:trPr>
          <w:trHeight w:val="420" w:hRule="atLeast"/>
        </w:trPr>
        <w:tc>
          <w:tcPr>
            <w:tcW w:w="896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(2023年)</w:t>
            </w:r>
          </w:p>
        </w:tc>
      </w:tr>
      <w:tr>
        <w:tblPrEx>
          <w:tblCellMar>
            <w:top w:w="0" w:type="dxa"/>
            <w:left w:w="108" w:type="dxa"/>
            <w:bottom w:w="0" w:type="dxa"/>
            <w:right w:w="108" w:type="dxa"/>
          </w:tblCellMar>
        </w:tblPrEx>
        <w:trPr>
          <w:trHeight w:val="48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沙湾市柳毛湾镇人民政府</w:t>
            </w:r>
          </w:p>
        </w:tc>
      </w:tr>
      <w:tr>
        <w:tblPrEx>
          <w:tblCellMar>
            <w:top w:w="0" w:type="dxa"/>
            <w:left w:w="108" w:type="dxa"/>
            <w:bottom w:w="0" w:type="dxa"/>
            <w:right w:w="108" w:type="dxa"/>
          </w:tblCellMar>
        </w:tblPrEx>
        <w:trPr>
          <w:trHeight w:val="46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0"/>
                <w:szCs w:val="20"/>
              </w:rPr>
              <w:t>沙湾市柳毛湾镇2023年差额单位工资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ascii="宋体" w:hAnsi="宋体" w:cs="宋体"/>
                <w:color w:val="000000"/>
                <w:sz w:val="22"/>
                <w:szCs w:val="22"/>
              </w:rPr>
              <w:t>潘存亮</w:t>
            </w:r>
          </w:p>
        </w:tc>
      </w:tr>
      <w:tr>
        <w:tblPrEx>
          <w:tblCellMar>
            <w:top w:w="0" w:type="dxa"/>
            <w:left w:w="108" w:type="dxa"/>
            <w:bottom w:w="0" w:type="dxa"/>
            <w:right w:w="108" w:type="dxa"/>
          </w:tblCellMar>
        </w:tblPrEx>
        <w:trPr>
          <w:trHeight w:val="60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99.37</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99.37</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0</w:t>
            </w:r>
          </w:p>
        </w:tc>
      </w:tr>
      <w:tr>
        <w:tblPrEx>
          <w:tblCellMar>
            <w:top w:w="0" w:type="dxa"/>
            <w:left w:w="108" w:type="dxa"/>
            <w:bottom w:w="0" w:type="dxa"/>
            <w:right w:w="108" w:type="dxa"/>
          </w:tblCellMar>
        </w:tblPrEx>
        <w:trPr>
          <w:trHeight w:val="96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22"/>
                <w:szCs w:val="22"/>
              </w:rPr>
            </w:pPr>
            <w:r>
              <w:rPr>
                <w:rFonts w:hint="eastAsia" w:ascii="宋体" w:hAnsi="宋体" w:cs="宋体"/>
                <w:color w:val="000000"/>
                <w:kern w:val="0"/>
                <w:sz w:val="20"/>
                <w:szCs w:val="20"/>
              </w:rPr>
              <w:t>2023年12月25日之前，完成商户地乡13名差额单位工作人员工资共99.37万元发放工作，资金发放及时率100%，资金覆盖率100%。通过项目的实施预期达到为提供资金保证，提高工作积极性的效果。</w:t>
            </w:r>
          </w:p>
        </w:tc>
      </w:tr>
      <w:tr>
        <w:tblPrEx>
          <w:tblCellMar>
            <w:top w:w="0" w:type="dxa"/>
            <w:left w:w="108" w:type="dxa"/>
            <w:bottom w:w="0" w:type="dxa"/>
            <w:right w:w="108" w:type="dxa"/>
          </w:tblCellMar>
        </w:tblPrEx>
        <w:trPr>
          <w:trHeight w:val="640" w:hRule="atLeast"/>
        </w:trPr>
        <w:tc>
          <w:tcPr>
            <w:tcW w:w="53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00" w:hRule="atLeast"/>
        </w:trPr>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发放工资人数（人）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=13人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资金覆盖率（%）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2023年12月25日前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工作资料</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差额单位每月发放标准（元/月/人）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=3754元/月/人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原始凭证</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提高工作积极性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说明材料</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差额单位干部满意度（%）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说明材料</w:t>
            </w:r>
          </w:p>
        </w:tc>
      </w:tr>
    </w:tbl>
    <w:p>
      <w:pPr>
        <w:widowControl/>
        <w:jc w:val="left"/>
        <w:rPr>
          <w:rFonts w:ascii="楷体_GB2312" w:hAnsi="宋体" w:eastAsia="楷体_GB2312" w:cs="宋体"/>
          <w:b/>
          <w:kern w:val="0"/>
          <w:sz w:val="32"/>
          <w:szCs w:val="32"/>
        </w:rPr>
      </w:pPr>
    </w:p>
    <w:p>
      <w:pPr>
        <w:widowControl/>
        <w:jc w:val="left"/>
        <w:rPr>
          <w:rFonts w:ascii="楷体_GB2312" w:hAnsi="宋体" w:eastAsia="楷体_GB2312" w:cs="宋体"/>
          <w:b/>
          <w:kern w:val="0"/>
          <w:sz w:val="32"/>
          <w:szCs w:val="32"/>
        </w:rPr>
      </w:pPr>
    </w:p>
    <w:p>
      <w:pPr>
        <w:spacing w:line="600" w:lineRule="exact"/>
        <w:outlineLvl w:val="2"/>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绩效目标表4</w:t>
      </w:r>
      <w:r>
        <w:rPr>
          <w:rFonts w:hint="eastAsia" w:ascii="仿宋_GB2312" w:hAnsi="黑体" w:eastAsia="仿宋_GB2312" w:cs="Times New Roman"/>
          <w:color w:val="auto"/>
          <w:sz w:val="32"/>
          <w:szCs w:val="32"/>
          <w:highlight w:val="none"/>
          <w:lang w:val="en-US" w:eastAsia="zh-CN"/>
        </w:rPr>
        <w:t>（柳毛湾镇2023年管委会干部生活补助）合并了一般公共预算项目支出里的项目（四）、（六）、（七），合并金额3.52万元。</w:t>
      </w:r>
    </w:p>
    <w:p>
      <w:pPr>
        <w:spacing w:line="600" w:lineRule="exact"/>
        <w:ind w:firstLine="640" w:firstLineChars="200"/>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s="Times New Roman"/>
          <w:color w:val="auto"/>
          <w:sz w:val="32"/>
          <w:szCs w:val="32"/>
          <w:highlight w:val="none"/>
          <w:lang w:val="en-US" w:eastAsia="zh-CN"/>
        </w:rPr>
        <w:t>绩效目标表8（沙湾市柳毛湾镇2023年差额单位工资）合并了一般公共预算项目支出里的项目（十）、（十一）、（十二）、（十三），合并金额99.37万元。</w:t>
      </w:r>
      <w:bookmarkStart w:id="0" w:name="_GoBack"/>
      <w:bookmarkEnd w:id="0"/>
    </w:p>
    <w:p>
      <w:pPr>
        <w:spacing w:line="600" w:lineRule="exact"/>
        <w:ind w:firstLine="640" w:firstLineChars="200"/>
        <w:rPr>
          <w:rFonts w:hint="eastAsia" w:ascii="仿宋_GB2312" w:hAnsi="黑体" w:eastAsia="仿宋_GB2312"/>
          <w:sz w:val="32"/>
          <w:szCs w:val="32"/>
          <w:lang w:eastAsia="zh-CN"/>
        </w:rPr>
      </w:pP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第四部分名词解释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七、“三公”经费</w:t>
      </w:r>
      <w:r>
        <w:rPr>
          <w:rFonts w:hint="eastAsia" w:ascii="仿宋_GB2312" w:eastAsia="仿宋_GB2312"/>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沙湾市柳毛湾镇人民政府</w:t>
      </w:r>
    </w:p>
    <w:p>
      <w:pPr>
        <w:widowControl/>
        <w:spacing w:line="520" w:lineRule="exact"/>
        <w:ind w:left="5040" w:firstLine="42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2023年02月18日</w:t>
      </w:r>
    </w:p>
    <w:p>
      <w:pPr>
        <w:widowControl/>
        <w:spacing w:line="520" w:lineRule="exact"/>
        <w:ind w:left="4620" w:firstLine="420"/>
        <w:jc w:val="left"/>
        <w:rPr>
          <w:rFonts w:ascii="仿宋_GB2312" w:hAnsi="宋体" w:eastAsia="仿宋_GB2312" w:cs="宋体"/>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jMmM5YjA0YTE2YTFmZDU0MzM1YzM5ZTJhM2Q2NjIifQ=="/>
    <w:docVar w:name="KSO_WPS_MARK_KEY" w:val="b462e546-7e4b-4477-a953-8a34b44c0eaf"/>
  </w:docVars>
  <w:rsids>
    <w:rsidRoot w:val="73881275"/>
    <w:rsid w:val="00056525"/>
    <w:rsid w:val="00076D87"/>
    <w:rsid w:val="000B23B7"/>
    <w:rsid w:val="000E5B91"/>
    <w:rsid w:val="00101B4A"/>
    <w:rsid w:val="00126740"/>
    <w:rsid w:val="00142919"/>
    <w:rsid w:val="00143A9A"/>
    <w:rsid w:val="001609FC"/>
    <w:rsid w:val="001A4140"/>
    <w:rsid w:val="001C127C"/>
    <w:rsid w:val="002346E8"/>
    <w:rsid w:val="002506F1"/>
    <w:rsid w:val="00290FCF"/>
    <w:rsid w:val="002A536F"/>
    <w:rsid w:val="002A65AD"/>
    <w:rsid w:val="003518C3"/>
    <w:rsid w:val="003861FE"/>
    <w:rsid w:val="003872B0"/>
    <w:rsid w:val="003B60BA"/>
    <w:rsid w:val="003D0F4F"/>
    <w:rsid w:val="004070D1"/>
    <w:rsid w:val="0043264F"/>
    <w:rsid w:val="00455102"/>
    <w:rsid w:val="00461C7E"/>
    <w:rsid w:val="00465CE1"/>
    <w:rsid w:val="0048700A"/>
    <w:rsid w:val="00493A2C"/>
    <w:rsid w:val="0049557D"/>
    <w:rsid w:val="004E4640"/>
    <w:rsid w:val="004F3C02"/>
    <w:rsid w:val="00510E12"/>
    <w:rsid w:val="0051172F"/>
    <w:rsid w:val="00544134"/>
    <w:rsid w:val="00585292"/>
    <w:rsid w:val="005F2383"/>
    <w:rsid w:val="00633C11"/>
    <w:rsid w:val="006365C3"/>
    <w:rsid w:val="00641C19"/>
    <w:rsid w:val="006A57EE"/>
    <w:rsid w:val="006F1271"/>
    <w:rsid w:val="006F5E2B"/>
    <w:rsid w:val="00725A7B"/>
    <w:rsid w:val="007657A2"/>
    <w:rsid w:val="007970DF"/>
    <w:rsid w:val="007A48B7"/>
    <w:rsid w:val="007C74E2"/>
    <w:rsid w:val="007F1AD9"/>
    <w:rsid w:val="007F2F97"/>
    <w:rsid w:val="00825153"/>
    <w:rsid w:val="00832B09"/>
    <w:rsid w:val="0086449B"/>
    <w:rsid w:val="008E7F05"/>
    <w:rsid w:val="008F6AA7"/>
    <w:rsid w:val="00910955"/>
    <w:rsid w:val="009A034D"/>
    <w:rsid w:val="009A4095"/>
    <w:rsid w:val="00A23D24"/>
    <w:rsid w:val="00A27DAE"/>
    <w:rsid w:val="00A333B5"/>
    <w:rsid w:val="00A406E3"/>
    <w:rsid w:val="00A53F50"/>
    <w:rsid w:val="00A671E2"/>
    <w:rsid w:val="00AB1354"/>
    <w:rsid w:val="00AB15EF"/>
    <w:rsid w:val="00AD4381"/>
    <w:rsid w:val="00B804B6"/>
    <w:rsid w:val="00B83C54"/>
    <w:rsid w:val="00BB2E8A"/>
    <w:rsid w:val="00BE020A"/>
    <w:rsid w:val="00C00B34"/>
    <w:rsid w:val="00C772FA"/>
    <w:rsid w:val="00CB54B3"/>
    <w:rsid w:val="00CC206B"/>
    <w:rsid w:val="00CD667C"/>
    <w:rsid w:val="00D1668E"/>
    <w:rsid w:val="00D45316"/>
    <w:rsid w:val="00D82459"/>
    <w:rsid w:val="00D93797"/>
    <w:rsid w:val="00D96670"/>
    <w:rsid w:val="00DB1444"/>
    <w:rsid w:val="00DB3C29"/>
    <w:rsid w:val="00DC7746"/>
    <w:rsid w:val="00E015CA"/>
    <w:rsid w:val="00E1586D"/>
    <w:rsid w:val="00E31FD6"/>
    <w:rsid w:val="00E347C9"/>
    <w:rsid w:val="00E609E7"/>
    <w:rsid w:val="00E77010"/>
    <w:rsid w:val="00E95B29"/>
    <w:rsid w:val="00EA0C09"/>
    <w:rsid w:val="00EC1C69"/>
    <w:rsid w:val="01384A42"/>
    <w:rsid w:val="035148F2"/>
    <w:rsid w:val="07C73228"/>
    <w:rsid w:val="080314A3"/>
    <w:rsid w:val="09F305DE"/>
    <w:rsid w:val="0BEF2441"/>
    <w:rsid w:val="0DE948F0"/>
    <w:rsid w:val="11694282"/>
    <w:rsid w:val="13FF7A53"/>
    <w:rsid w:val="14471854"/>
    <w:rsid w:val="153E50D4"/>
    <w:rsid w:val="154E732C"/>
    <w:rsid w:val="175C474F"/>
    <w:rsid w:val="1A297080"/>
    <w:rsid w:val="1EE313F2"/>
    <w:rsid w:val="1F122D30"/>
    <w:rsid w:val="1F2403D2"/>
    <w:rsid w:val="1F5B2527"/>
    <w:rsid w:val="223663BF"/>
    <w:rsid w:val="25115838"/>
    <w:rsid w:val="266515CA"/>
    <w:rsid w:val="26671CC7"/>
    <w:rsid w:val="26997778"/>
    <w:rsid w:val="27A87F7C"/>
    <w:rsid w:val="2ADE5F1B"/>
    <w:rsid w:val="2D151C3D"/>
    <w:rsid w:val="2D7845C3"/>
    <w:rsid w:val="2DD51648"/>
    <w:rsid w:val="2DEB679E"/>
    <w:rsid w:val="308F1B5C"/>
    <w:rsid w:val="31203AAE"/>
    <w:rsid w:val="31F33BB6"/>
    <w:rsid w:val="32730BCF"/>
    <w:rsid w:val="32FE63DF"/>
    <w:rsid w:val="367F3139"/>
    <w:rsid w:val="393462D9"/>
    <w:rsid w:val="3A230DBA"/>
    <w:rsid w:val="3AF307FC"/>
    <w:rsid w:val="3BF93BA0"/>
    <w:rsid w:val="3C177780"/>
    <w:rsid w:val="3C590C1E"/>
    <w:rsid w:val="3E4638F3"/>
    <w:rsid w:val="433B55EE"/>
    <w:rsid w:val="452D1DC2"/>
    <w:rsid w:val="477957A6"/>
    <w:rsid w:val="487571E4"/>
    <w:rsid w:val="4AA06F87"/>
    <w:rsid w:val="505C4D2B"/>
    <w:rsid w:val="51AA4C1D"/>
    <w:rsid w:val="5447264D"/>
    <w:rsid w:val="54B122F3"/>
    <w:rsid w:val="55534511"/>
    <w:rsid w:val="5C6A5542"/>
    <w:rsid w:val="5CD26A8B"/>
    <w:rsid w:val="5DF73BD6"/>
    <w:rsid w:val="5E3C3095"/>
    <w:rsid w:val="623802B4"/>
    <w:rsid w:val="674B6D73"/>
    <w:rsid w:val="6DD438E3"/>
    <w:rsid w:val="73881275"/>
    <w:rsid w:val="75837847"/>
    <w:rsid w:val="759A3A73"/>
    <w:rsid w:val="77B6551D"/>
    <w:rsid w:val="7925146A"/>
    <w:rsid w:val="79BF498F"/>
    <w:rsid w:val="7A575129"/>
    <w:rsid w:val="7B4038F6"/>
    <w:rsid w:val="7CA12AD0"/>
    <w:rsid w:val="7D451E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1873F-967B-4F67-9537-08D1FB176645}">
  <ds:schemaRefs/>
</ds:datastoreItem>
</file>

<file path=docProps/app.xml><?xml version="1.0" encoding="utf-8"?>
<Properties xmlns="http://schemas.openxmlformats.org/officeDocument/2006/extended-properties" xmlns:vt="http://schemas.openxmlformats.org/officeDocument/2006/docPropsVTypes">
  <Template>Normal.dotm</Template>
  <Pages>55</Pages>
  <Words>4232</Words>
  <Characters>24129</Characters>
  <Lines>201</Lines>
  <Paragraphs>56</Paragraphs>
  <TotalTime>4</TotalTime>
  <ScaleCrop>false</ScaleCrop>
  <LinksUpToDate>false</LinksUpToDate>
  <CharactersWithSpaces>28305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2024-05-20T10:04:18Z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