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  <w:t>沙湾市应急管理局202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  <w:t>年度安全生产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监督检查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  <w:t>工作计划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为深入推进安全生产依法行政，全面规范安全生产监督检查行为，沙湾市应急管理局结合执法队伍配置、装备保障水平及企业数量规模等现实情况，严格遵循统筹兼顾、分类分级、突出重点、提升效能的核心原则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依据相关法律法规规定，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制定本计划。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编制依据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《中华人民共和国安全生产法》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.《国务院办公厅关于严格规范涉企行政检查的意见》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《国务院办公厅关于深化应急管理综合行政执法改革的意见》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.《新疆维吾尔自治区安全生产条例》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.《安全生产年度监督检查计划编制办法》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.《应急管理部关于严格规范安全生产执法行为的通知》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.《应急管理综合行政执法事项指导目录（2023版）》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深入学习贯彻习近平法治思想，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全面贯彻党的二十大、二十届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全会精神，深入学习践行习近平总书记关于安全生产、防灾减灾救灾、应急救援的重要论述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及指示批示精神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，牢固树立安全发展理念，坚持 “人民至上、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生命至上”，统筹发展和安全两大任务，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加强依法行政，确保行政检查于法有据、严格规范、公正文明、精准高效，进一步优化营商环境，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为沙湾市经济社会高质量发展营造安全稳定的生产环境。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紧扣自治区安全生产 “治本攻坚” 三年行动部署，全面深化行政执法 “三项制度”，健全与高质量发展、高水平安全相适配的应急管理综合行政执法模式。聚焦煤矿、非煤矿山、危险化学品、烟花爆竹、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工贸、培训机构等重点行业领域，增强监管检查的针对性和实效性，推动企业严格遵守法律法规及国家标准，及时排查整改事故隐患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，防范各类生产安全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主要任务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1.防范化解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重大安全风险隐患。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矿山领域：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重点整治火灾、透水、顶板冒落、井下坍塌和通风不良等隐患，严厉打击违法违规施工、改造、生产、掘进和违法分包等行为。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危险化学品领域：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严格落实危化品安全风险隐患排查“两个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导则”，深入开展危险化学品安全专项治理，紧盯重要部位、关键设备及燃爆泄露等事故多发环节的风险管控与隐患排查整治。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烟花爆竹领域：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严厉打击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法经营、无证销售、超量储存等行为，强化经营环节安全风险防范。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工贸领域：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狠抓工贸行业领域安全风险防控和隐患排查治理，重点整治发包出租环节 “以租代管” 及特种作业人员无证上岗等问题，持续强化粉尘涉爆、有限空间作业等重点环节安全防范。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2.持续深化重点行业专项整治。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矿山领域：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对正常生产建设的煤矿和非煤矿山实行 “一矿一策” 诊断治理，摸清灾害风险底数和安全管理现状，开展采掘接续紧张、一通三防、地质灾害防治、水害防治等专项检查，严厉打击盗采、超层越界、隐蔽工作面开采等违法违规行为。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危险化学品领域：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加强重大危险源常态化风险管控和高危细分领域管控，持续开展重点企业专家指导服务和油气长输管道隐患排查治理，深化化工装置 “带病” 运行、储存经营等环节安全风险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深化安全风险监测预警应用，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提升信息化智能化管控水平。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工贸行业领域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：深入推进粉尘涉爆、有限空间作业等专项整治，重点强化建材、轻工领域有限空间作业安全风险防控。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.强化安全生产综合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监督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检查。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聚焦煤矿、非煤矿山、危险化学品等重点行业领域，常态化开展“打非治违”专项行动；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组织开展安全生产大检查，对高危企业及重大危险源实施重点管控；规范生产安全事故调查处理流程，严格责任追究并跟踪整改落实；畅通举报投诉渠道，及时核查处理案件；加强与相关部门协作配合，积极开展多部门联合执法，形成监管合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.切实做好教育培训普法宣传。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将习近平总书记关于安全生产重要论述、法律法规、标准规范、典型事故案例等纳入教育培训计划，组织企业开展全员安全培训，按岗位分类教学强化安全操作与应急处置技能，落实三级培训要求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“三类重点人员” 工伤预防能力提升全覆盖。强化监管人员培训，提升执法队伍综合素质和业务能力。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.依法严格规范公正文明执法。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依据《安全生产违法行为行政处罚办法》《沙湾市应急管理局行政执法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权责清单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严格执行行政执法程序，全面落实行政执法公示、执法全过程记录、重大执法决定法制审核制度，坚持分类分级和 “双随机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一公开” 执法原则，提升执法精细化、规范化和信息化水平。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6.严格规范执法典型案例报送。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按照上级要求，每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从本部门直接作出行政处罚的案件中至少选取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个典型案例，经严格审核后报送上级应急管理部门。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7.认真落实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市委、市政府、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上级部门交办的其他工作。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28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lang w:val="en-US" w:eastAsia="zh-CN"/>
        </w:rPr>
        <w:t>行政执法人员数量及执法工作日测算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行政执法人员数量：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纳入计算的执法人员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15人。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2.法定工作日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个工作日（2026年全年365日，双休日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日，法定节假日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日）。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总法定工作日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15人×24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日=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3630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4.执法检查工作日：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396个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工作日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煤矿上级公司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煤矿企业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非煤矿山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危险化学品生产、使用企业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危险化学品经营企业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检查1次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烟花爆竹企业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检查1次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重点工贸企业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检查1次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安全生产培训机构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检查1次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合计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5.其他执法工作日：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1964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包括实施行政许可、生产安全事故调查和处理、安全生产举报查处、参与有关部门组织的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执法、有关报告、制度、安全措施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应急预案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的备案、开展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安全生产宣传教育培训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6.非执法工作日：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包括值班、学习、培训、会议、法定年休假、参加党群活动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及理论学习会议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等其他工作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28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28"/>
          <w:lang w:val="en-US" w:eastAsia="zh-CN"/>
        </w:rPr>
        <w:t>监管企业及检查频次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1.重点监管企业（1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煤矿企业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共5家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（矿山安全服务保障中心）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）危险化学品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生产、使用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共7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2.一般监管企业（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）非煤矿山企业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（矿山安全服务保障中心）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）危险化学品经营企业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共21家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烟花爆竹企业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工贸企业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共9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）安全生产培训机构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双随机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抽查企业（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（1）危险化学品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）危险化学品经营企业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共24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烟花爆竹企业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共14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）工贸企业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共9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家。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危化工贸科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检查频次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（1）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重点监管企业年度执法检查不少于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次；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一般监管企业年度执法检查不少于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“双随机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、一公开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” 抽查频次为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次，守法合规的低风险企业可适当降低，原则上三年内不重复抽查。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对于投诉举报、转办交办的违法行为，可以不受频次上限限制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七、监督检查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重点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1.建立和落实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全员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安全生产责任制、安全生产规章制度和操作规程、作业规程的情况；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2.依法设置安全生产管理机构和配备安全生产管理人员的情况；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3.从业人员受到安全生产教育、培训，取得有关安全资格证书的情况；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4.在有较大危险因素的生产经营场所和有关设施、设备上，设置安全警示标志的情况；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5.对安全设备设施的维护、保养、定期检测的情况；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6.重大危险源登记建档、定期检测、评估、监控和制定应急预案的情况；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7.在同一作业区域内进行生产经营活动，可能危及对方生产安全的，与对方签订安全生产管理协议，明确各自的安全生产管理职责和应当采取的安全措施，并指定专职安全生产管理人员进行安全检查与协调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8.组织安全生产检查，及时排查治理生产安全事故隐患的情况；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9.制定、实施生产安全事故应急预案，以及有关应急预案备案的情况；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10.依法应当监督检查的其他情况。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、组织实施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1.制定现场检查方案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检查前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制定《现场检查方案》，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被检查对象名称、地址、联系人、检查时间、行政执法人员、检查内容、检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查方式等事项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经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负责人审核批准后实施。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2.实施现场监督检查。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开展检查时，出具《行政检查通知书》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执法人员不得少于两人，且应主动出示执法证件，表明执法身份。检查过程中，同步制作《现场检查记录》，详细记录检查情况。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3.采取现场处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理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措施。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对监督检查中发现的安全生产问题和隐患，当场纠正或责令限期改正；发现事故隐患的，责令立即排除。重大事故隐患排除前或排除过程中无法保证安全的，责令撤出作业人员并暂停相关生产经营及建设施工活动，限期排除隐患，并根据法定程序制作并送达相应法律文书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行政处罚信息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公开。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4.跟踪整改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复查闭环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跟踪事故隐患整改情况，督促指导企业严格落实《安全生产事故隐患排查治理暂行规定》，制定包含治理责任、措施、资金、期限和应急预案 “五落实” 要求的整改方案，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及时复查，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确保事故隐患问题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整改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到位。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规范监督检查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档案。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照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一企一档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的要求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，收集整理《现场检查方案》《现场检查记录》、法律文书、企业资料、影像资料等，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形成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监督检查档案。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“双随机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、一公开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”抽查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根据“双随机”抽查所涉及的领域，分别在对应的抽查对象、行政执法人员名录库中，随机抽取检查对象和随机选定执法人员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检查、办案、归档等工作由综合行政执法队统一管理。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、工作要求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（一）严格落实监督检查计划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各科（室）、综合行政执法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队按年度</w:t>
      </w:r>
      <w:r>
        <w:rPr>
          <w:rFonts w:hint="eastAsia" w:ascii="Times New Roman" w:hAnsi="Times New Roman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监督检查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计划开展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工作，遵循</w:t>
      </w:r>
      <w:r>
        <w:rPr>
          <w:rFonts w:hint="eastAsia" w:ascii="Times New Roman" w:hAnsi="Times New Roman" w:cs="Times New Roman"/>
          <w:bCs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依法有序、严格规范、突出重点、精准适当</w:t>
      </w:r>
      <w:r>
        <w:rPr>
          <w:rFonts w:hint="eastAsia" w:ascii="Times New Roman" w:hAnsi="Times New Roman" w:cs="Times New Roman"/>
          <w:bCs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原则，确保执法尺度与违法行为的事实、性质、情节及社会危害程度相适应，提升执法效率和质量。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（二）规范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行政执法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行为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坚持依法行政，以深化行政执法 “三项制度” 为核心，严格执行自由裁量基准与依法不予处罚原则，规范执法程序与文书制作，确保执法行为合法合规、有据可查；全面落实执法计划公开、执法人员执法亮证、执法检查“扫码入企”等要求，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规范使用 “新疆维吾尔自治区安全生产执法信息系统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矿山安全生产综合信息系统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”，确保执法信息全面、及时、准确录入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实施执法全过程监督，不断提高执法工作质量。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）严格执法检查纪律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Lines="0" w:after="0" w:afterLines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执法人员要严格执行《应急管理行政执法人员依法履职管理规定》（应急管理部9号令）及党风廉政相关规定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，依法行政、公正公开公平执法，主动接受检查对象监督。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（一）计划实施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年度监督检查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计划经市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人民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政府批准后正式实施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 w:bidi="ar"/>
        </w:rPr>
        <w:t>，报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塔城地区应急管理局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 w:bidi="ar"/>
        </w:rPr>
        <w:t>备案。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（二）计划调整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出现下列情形之一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需作出重大调整的，应当在30日内重新履行报批和备案手续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核定相应的工作量：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1.重点检查单位的数量减少幅度超过计划10%，或者重点检查单位的范围作出变更的；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2.监督检查单位的数量减少幅度超过计划20%的；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3.其他需要报批的情形。</w:t>
      </w:r>
    </w:p>
    <w:p>
      <w:pPr>
        <w:pStyle w:val="4"/>
        <w:rPr>
          <w:rFonts w:hint="default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right="840" w:rightChars="40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  <w:t>沙湾市应急管理局安全生产行政执法人员名录库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 2.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  <w:t>沙湾市应急管理局行政执法人员执法工作日测算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 3.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  <w:t>沙湾市应急管理局202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  <w:t>年度煤矿企业安全生产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   监督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bidi="ar"/>
        </w:rPr>
        <w:t>检查计划表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4.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沙湾市应急管理局2026年度安全生产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监督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检查计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1"/>
          <w:w w:val="95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划表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5.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沙湾市应急管理局2026年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度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“双随机</w:t>
      </w: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、一公开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”抽查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59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kern w:val="0"/>
          <w:sz w:val="32"/>
          <w:szCs w:val="32"/>
          <w:lang w:val="en-US" w:eastAsia="zh-CN" w:bidi="ar"/>
        </w:rPr>
        <w:t>企业名单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沙湾市应急管理局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  <w:t>日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center"/>
        <w:rPr>
          <w:rFonts w:hint="default" w:ascii="Times New Roman" w:hAnsi="Times New Roman" w:cs="Times New Roman"/>
          <w:b/>
          <w:bCs w:val="0"/>
          <w:color w:val="auto"/>
          <w:lang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lang w:bidi="ar"/>
        </w:rPr>
        <w:t>沙湾市应急管理局安全生产行政执法人员名录库</w:t>
      </w:r>
    </w:p>
    <w:tbl>
      <w:tblPr>
        <w:tblStyle w:val="13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90"/>
        <w:gridCol w:w="1701"/>
        <w:gridCol w:w="312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  <w:t>序号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  <w:t>姓名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  <w:t>执法证号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  <w:t>科室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崔宁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31130424005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2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刘高明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31130424011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张帅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31130424010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4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景燕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31130424007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5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钱琴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31130424012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6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孟岩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31130424027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7</w:t>
            </w:r>
          </w:p>
        </w:tc>
        <w:tc>
          <w:tcPr>
            <w:tcW w:w="149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木克塔尔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31130424018</w:t>
            </w:r>
          </w:p>
        </w:tc>
        <w:tc>
          <w:tcPr>
            <w:tcW w:w="312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矿山安全服务保障中心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8</w:t>
            </w:r>
          </w:p>
        </w:tc>
        <w:tc>
          <w:tcPr>
            <w:tcW w:w="149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张坤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31130424014</w:t>
            </w:r>
          </w:p>
        </w:tc>
        <w:tc>
          <w:tcPr>
            <w:tcW w:w="312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矿山安全服务保障中心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9</w:t>
            </w:r>
          </w:p>
        </w:tc>
        <w:tc>
          <w:tcPr>
            <w:tcW w:w="149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杨锦朝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31130424025</w:t>
            </w:r>
          </w:p>
        </w:tc>
        <w:tc>
          <w:tcPr>
            <w:tcW w:w="312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矿山安全服务保障中心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 w:bidi="ar"/>
              </w:rPr>
              <w:t>0</w:t>
            </w:r>
          </w:p>
        </w:tc>
        <w:tc>
          <w:tcPr>
            <w:tcW w:w="149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达吾提拜克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31130424032</w:t>
            </w:r>
          </w:p>
        </w:tc>
        <w:tc>
          <w:tcPr>
            <w:tcW w:w="312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矿山安全服务保障中心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 w:bidi="ar"/>
              </w:rPr>
              <w:t>1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王磊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31130424004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综合减灾救援科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张起祯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31130424017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综合减灾救援科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 w:bidi="ar"/>
              </w:rPr>
              <w:t>13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 w:bidi="ar"/>
              </w:rPr>
              <w:t>苏莱曼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31130424031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督查考核综合科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14</w:t>
            </w:r>
          </w:p>
        </w:tc>
        <w:tc>
          <w:tcPr>
            <w:tcW w:w="149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丁晨钰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31130424013</w:t>
            </w:r>
          </w:p>
        </w:tc>
        <w:tc>
          <w:tcPr>
            <w:tcW w:w="3120" w:type="dxa"/>
            <w:shd w:val="clear" w:color="auto" w:fill="auto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督查考核综合科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6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15</w:t>
            </w:r>
          </w:p>
        </w:tc>
        <w:tc>
          <w:tcPr>
            <w:tcW w:w="149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吴建勋</w:t>
            </w:r>
          </w:p>
        </w:tc>
        <w:tc>
          <w:tcPr>
            <w:tcW w:w="1701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31130424033</w:t>
            </w:r>
          </w:p>
        </w:tc>
        <w:tc>
          <w:tcPr>
            <w:tcW w:w="3120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  <w:t>督查考核综合科</w:t>
            </w:r>
          </w:p>
        </w:tc>
        <w:tc>
          <w:tcPr>
            <w:tcW w:w="1559" w:type="dxa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2"/>
          <w:szCs w:val="32"/>
          <w:lang w:bidi="ar"/>
        </w:rPr>
        <w:t>沙湾市应急管理局行政执法人员执法工作日测算</w:t>
      </w:r>
    </w:p>
    <w:tbl>
      <w:tblPr>
        <w:tblStyle w:val="12"/>
        <w:tblpPr w:leftFromText="180" w:rightFromText="180" w:vertAnchor="text" w:horzAnchor="margin" w:tblpY="111"/>
        <w:tblOverlap w:val="never"/>
        <w:tblW w:w="92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200"/>
        <w:gridCol w:w="1200"/>
        <w:gridCol w:w="1186"/>
        <w:gridCol w:w="974"/>
        <w:gridCol w:w="960"/>
        <w:gridCol w:w="880"/>
        <w:gridCol w:w="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32"/>
                <w:lang w:bidi="ar"/>
              </w:rPr>
              <w:t>项目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应急管理综合行政执法队</w:t>
            </w:r>
          </w:p>
        </w:tc>
        <w:tc>
          <w:tcPr>
            <w:tcW w:w="11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矿山安全服务保障中心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综合减灾救援科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督查考核综合科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共计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行政执法人数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rPr>
          <w:trHeight w:val="362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总法定工作日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  <w:t>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其他执法工作日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实施行政许可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rPr>
          <w:trHeight w:val="187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组织生产安全事故调查和处理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调查核实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安全生产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投诉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举报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参与有关部门联合执法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有关报告、制度、安全措施、应急预案的备案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定向实现“执法+专家”指导帮扶专项检查活动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参与市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、地区局、自治区厅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检查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开展安全生产宣传教育培训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其他临时性工作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bidi="ar"/>
              </w:rPr>
              <w:t>小计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非执法工作日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值班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学习、培训、会议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党群活动及理论学习会议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参加“民族团结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一家亲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活动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年休假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17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bidi="ar"/>
              </w:rPr>
              <w:t>小计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执法检查工作日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总法定工作日-其他执法工作日-非执法工作日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工作日测算说明：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 w:firstLineChars="200"/>
        <w:textAlignment w:val="auto"/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highlight w:val="none"/>
        </w:rPr>
        <w:t>总法定工作日（法定工作日×执法人员数）：</w:t>
      </w:r>
      <w:r>
        <w:rPr>
          <w:rFonts w:hint="eastAsia" w:ascii="仿宋_GB2312" w:hAnsi="仿宋_GB2312" w:eastAsia="仿宋_GB2312" w:cs="仿宋_GB2312"/>
          <w:b/>
          <w:bCs/>
          <w:w w:val="98"/>
          <w:sz w:val="32"/>
          <w:szCs w:val="32"/>
          <w:highlight w:val="none"/>
          <w:lang w:val="en-US" w:eastAsia="zh-CN"/>
        </w:rPr>
        <w:t>3630天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测算依据如下：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根据《国务院关于修改&lt;全国年节及纪念日放假办法&gt;的决定》（国务院令第795号）的规定，202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年国家（自治区）法定工作日=365-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=24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（1）全年总天数365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，共52周；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（2）双休日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全年52周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2=104天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、调休日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（3）元旦、春节、清明、劳动节、端午、中秋、国庆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肉孜节、古尔邦节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天法定假日；（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节假日与周末同休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共计16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总法定工作日=国家（自治区）法定工作日×行政执法人员数量=（365-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3630天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 2.其他执法工作日（所列工作日总和）：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1964日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测算依据如下：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（1）实施行政许可：年内许可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×许可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件数5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×执法人员2人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=50日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（2）案件调查处理：事故调查处理时间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天×执法人员2人+违法行为调查处理时间30天×执法人员2人=1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0天/起，参照前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年事故及违法行为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起，共计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（3）安全生产举报查处：件数×（现场核查工作日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×执法人员2人+处理情况回复工作日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×执法人员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件×（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日×2人+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日×2人）=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有关部门联合执法：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日（年内平均每人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日，行政执法人员共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）有关报告、制度、安全措施、应急预案的备案：件数×（年内平均单次备案20日×执法人员2人）=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件×（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）定向实施“执法+专家”指导帮扶专项检查活动：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日（年内平均每人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日，行政执法人员共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参与参与市政府、地区局、自治区厅检查：次数（市政府检查1次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月，每次1日、地区局检查2次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季度，每次2日、自治区厅检查1次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半年，每次2日）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×行政执法人员共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=（12+8+4）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15=360日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）开展安全生产宣传教育培训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：150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日（年内平均每人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日，行政执法人员共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）其他临时性工作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：314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3.非执法工作日（所列工作日总和）：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1270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测算依据如下：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（1）值班：人数（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人）×应急值守=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次/月×12月=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学习、培训、会议总安排：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日/月×12月×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党群活动及理论学习会议：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×12月×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）法定年休假总安排：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行政执法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人员中，工龄20年及以上的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人，按规定每人年休假15天；工龄10年以上20年以下的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人，每人年休假10天；工龄10年以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下的6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每人年休假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天，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年休假天数合计为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4.执法检查工作日：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396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执法检查工作日=总法定工作日-（其他执法工作日+非执法工作日）=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1270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日）=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11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11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沙湾市应急管理局202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年度煤矿企业安全生产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监督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检查计划表</w:t>
      </w:r>
    </w:p>
    <w:tbl>
      <w:tblPr>
        <w:tblStyle w:val="13"/>
        <w:tblpPr w:leftFromText="180" w:rightFromText="180" w:vertAnchor="text" w:horzAnchor="page" w:tblpX="1525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46"/>
        <w:gridCol w:w="1418"/>
        <w:gridCol w:w="567"/>
        <w:gridCol w:w="38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检查频次</w:t>
            </w:r>
          </w:p>
        </w:tc>
        <w:tc>
          <w:tcPr>
            <w:tcW w:w="1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企业类型</w:t>
            </w: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检查单位</w:t>
            </w:r>
          </w:p>
        </w:tc>
        <w:tc>
          <w:tcPr>
            <w:tcW w:w="17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煤矿上级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新疆民祥矿业有限责任公司</w:t>
            </w:r>
          </w:p>
        </w:tc>
        <w:tc>
          <w:tcPr>
            <w:tcW w:w="170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煤矿企业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家)</w:t>
            </w: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沙湾市宏业煤炭有限责任公司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生产）</w:t>
            </w:r>
          </w:p>
        </w:tc>
        <w:tc>
          <w:tcPr>
            <w:tcW w:w="170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沙湾市宝英煤炭有限责任公司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生产）</w:t>
            </w:r>
          </w:p>
        </w:tc>
        <w:tc>
          <w:tcPr>
            <w:tcW w:w="170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新疆沙湾市恒源煤炭有限责任公司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建设）</w:t>
            </w:r>
          </w:p>
        </w:tc>
        <w:tc>
          <w:tcPr>
            <w:tcW w:w="170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沙湾市鑫泉煤炭有限责任公司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建设）</w:t>
            </w:r>
          </w:p>
        </w:tc>
        <w:tc>
          <w:tcPr>
            <w:tcW w:w="170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4"/>
          <w:szCs w:val="32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color w:val="auto"/>
          <w:sz w:val="32"/>
          <w:szCs w:val="28"/>
          <w:lang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沙湾市应急管理局202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年度安全生产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监督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检查计划表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46"/>
        <w:gridCol w:w="993"/>
        <w:gridCol w:w="708"/>
        <w:gridCol w:w="382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9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检查频次</w:t>
            </w:r>
          </w:p>
        </w:tc>
        <w:tc>
          <w:tcPr>
            <w:tcW w:w="9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检查单位</w:t>
            </w:r>
          </w:p>
        </w:tc>
        <w:tc>
          <w:tcPr>
            <w:tcW w:w="22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非煤矿山企业(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1家)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新疆云启灿辉商贸有限公司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砖瓦用黏土矿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季节性生产）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沙湾市新坤砖厂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季节性生产）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沙湾市三个泉子南侧Ⅶ-1号砂石料厂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季节性生产）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沙湾市宁家河东侧1号砂石料厂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沙湾市宁家河东侧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号砂石料厂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哈拉干德工业区东侧II-1砂石料矿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哈拉干德工业区东侧II-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砂石料矿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5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沙湾市安集海镇砂石土集中开采区（II）-1号砂石料矿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沙湾市安集海镇砂石土集中开采区（II）-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号砂石料矿（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西戈壁乔坎村东侧Ⅸ-1号砂石料矿（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新疆油田公司重油开发公司(石油开采)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矿山安全服务保障中心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危险化学品生产企业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新疆帅科煤化有限公司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沙湾县恒巍工贸有限责任公司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新疆鸿旭浩瑞工业有限公司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沙湾瑞泰化工有限公司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新疆安达化工有限公司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沙湾万特矿业有限公司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危险化学品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企业(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沙湾县众泰汇鑫化工有限责任公司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危险化学品经营企业(21家)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沙湾中闽油联石油制品有限公司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沙湾市中跃石油制品有限公司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沙湾京中新能源汽车服务有限公司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沙湾县茂捷石化有限公司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沙湾县中源石化有限公司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沙湾市中润石油制品有限公司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沙湾市中霸石油制品有限公司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中石油沙湾城北加油站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中石油新疆销售有限公司塔城分公司沙湾柳毛湾加油站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中石油新疆销售有限公司塔城分公司沙湾博尔通古加油站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中石油新疆销售有限公司塔城分公司沙湾东湾加油站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中石油新疆销售有限公司塔城分公司沙湾四道河子加油站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中石油沙湾交通东路二号加油站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沙湾县宏彪气体有限公司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沙湾市安瑞捷石化有限公司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沙湾县东升鑫源燃气有限公司乌兰乌苏加油加气站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沙湾市金山伟业燃气有限责任公司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卓德能源有限公司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沙湾赛福化工有限公司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沙湾市瑞华昇运输有限责任公司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沙湾市新凯达商贸有限责任公司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烟花爆竹批发、零售企业(6家)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沙湾市国华商贸有限公司（批发）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沙湾市安集海镇国华烟花爆竹经营部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沙湾市三道河子镇糖果果商行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6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沙湾市商户地乡万家灯火烟花爆竹销售店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沙湾市安集海镇东雪烟花爆竹经销店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沙湾市大泉乡喜上加喜烟花爆竹经营店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规模以上工贸企业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(9家)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沙湾泰昆油脂有限公司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新疆鑫家和农业发展有限公司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沙湾市天宝绿色食品有限公司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沙湾金泽建材有限责任公司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新疆兴泰纤维科技有限公司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新疆天目湖地毯织造有限公司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新疆天时利塑业有限责任公司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新疆裕鑫源纺织有限公司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沙湾市广大农业机械制造有限责任公司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安全生产培训机构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沙湾市迈昂职业技能培训有限公司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新疆顺安宝职业技能考核服务有限公司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9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2026年度危化、工贸、烟花爆竹企业监管按风险分级实施：将安全管理薄弱、隐患整改不力、风险等级高、上年度未纳入监管计划的企业列入年度监督检查执法计划，其余纳入双随机监管计划，实现重点突出、全面覆盖、精准高效监管。（其中，沙湾市规上工贸企业共计18家企业由我单位直接实施监管，实现全覆盖执法：9家列为重点监管对象实施精准检查，9家纳入“双随机、一公开”抽查强化常态化监管；其余工贸企业由对应行业主管部门按照市安委办“三管三必须”行业监管文件要求，履行监管职责，形成分工明确、协同联动的监管格局）。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黑体" w:cs="Times New Roman"/>
          <w:color w:val="auto"/>
          <w:sz w:val="32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8"/>
          <w:lang w:val="en-US" w:eastAsia="zh-CN" w:bidi="ar"/>
        </w:rPr>
        <w:t>5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沙湾市应急管理局202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年度“双随机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  <w:t>一公开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bidi="ar"/>
        </w:rPr>
        <w:t>”抽查企业名单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53"/>
        <w:gridCol w:w="680"/>
        <w:gridCol w:w="444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类型</w:t>
            </w: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检查单位</w:t>
            </w:r>
          </w:p>
        </w:tc>
        <w:tc>
          <w:tcPr>
            <w:tcW w:w="22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危险化学品生产企业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家)</w:t>
            </w: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新疆力铭鑫通石油化工有限公司（长期停产）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新疆天舜众鑫沥青有限责任公司（长期停产）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新疆鸿发环保科技有限公司（长期停产）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危险化学品经营企业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家)</w:t>
            </w: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沙湾市中鑫石油制品有限公司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沙湾市昌源石化有限公司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沙湾市拓大能源有限责任公司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沙湾县恒硕石化有限公司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沙湾市中延石油制品有限公司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沙湾县中茂石化有限公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中石油新疆销售有限公司塔城分公司沙湾北郊加油站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中石油新疆销售有限公司塔城分公司沙湾西戈壁加油站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中国石化销售股份有限公司新疆沙湾市北京路加油站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13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中石油沙湾交通东路一号加油站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14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中石油新疆销售有限公司塔城沙湾沙北加油站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中石油沙湾老沙湾加油站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16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中石油沙湾商户地加油站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17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中石油沙湾乌兰乌苏加油站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18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15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中石油新疆销售有限公司塔城分公司沙湾东湾家什窑加油站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19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16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中石油新疆销售有限公司塔城分公司沙湾安集海加油站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17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新疆金仓满田肥业有限公司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18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新疆中安华金商贸有限公司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19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新疆力铭鑫顺工贸有限责任公司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沙湾市联晟建材有限责任公司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新疆中化鑫润能源有限公司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沙湾市同德瑞晟综合能源有限公司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新疆融湾能源有限公司 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新疆远卓能源有限责任公司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烟花爆竹批发、零售企业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家)</w:t>
            </w: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沙湾市三道河子镇欢天喜地鞭炮店（凯旋街道 人民路社区）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沙湾市三道河子镇凯运烟花爆竹经销店（凯旋街道 凯旋路社区）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沙湾市三道河子镇鸿运福鞭炮店（书香街道 老沙湾社区）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沙湾市金沟河镇常东宝烟花爆竹经营部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32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沙湾市尊尚烟花爆竹零售店（桃园街道）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33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沙湾市绍雄烟花爆竹经营店（桃园街道）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沙湾市西戈壁镇二零零八烟花爆竹销售点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沙湾市炫酷烟花爆竹经营店（书香街道）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36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沙湾市四道河子镇祥顺烟花爆竹零售店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37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沙湾市柳毛湾镇梁艳烟花爆竹销售店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沙湾市乌兰乌苏镇军杰烟花爆竹销售店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沙湾县大地红烟花爆竹销售店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28"/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沙湾市亮亮烟花爆竹零售店（团结街道）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沙湾市东湾镇志俊烟花爆竹经营商行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规模以上工贸企业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8"/>
              </w:rPr>
              <w:t>家)</w:t>
            </w: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新疆联合创驰建材有限公司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沙湾银达建材有限责任公司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新疆瑞隆农业发展有限公司油脂分公司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沙湾华荣纺织有限公司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沙湾盖瑞乳业有限责任公司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沙湾天山水泥有限责任公司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kern w:val="0"/>
                <w:lang w:val="en-US" w:eastAsia="zh-CN"/>
              </w:rPr>
              <w:t>中粮天海粮油工业（沙湾）有限公司（长期停产）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沙湾市家和番茄制品有限公司（长期停产）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新疆昌粮油脂集团沙湾有限公司（长期停产）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应急管理综合行政执法队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说明：列入“双随机、一公开”监管执法计划的企业，均为安全风险等级较低、长期停产、季节性停产或生产经营活动频次较少的企业。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445088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64033"/>
    <w:multiLevelType w:val="singleLevel"/>
    <w:tmpl w:val="7E464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F9"/>
    <w:rsid w:val="00016A54"/>
    <w:rsid w:val="00060C39"/>
    <w:rsid w:val="00071DDF"/>
    <w:rsid w:val="00081AD2"/>
    <w:rsid w:val="00087A5A"/>
    <w:rsid w:val="000941C6"/>
    <w:rsid w:val="000A3895"/>
    <w:rsid w:val="00116A02"/>
    <w:rsid w:val="00162AF2"/>
    <w:rsid w:val="001764F3"/>
    <w:rsid w:val="00215CB6"/>
    <w:rsid w:val="00225E95"/>
    <w:rsid w:val="00240238"/>
    <w:rsid w:val="00242484"/>
    <w:rsid w:val="00245EA5"/>
    <w:rsid w:val="00246B81"/>
    <w:rsid w:val="00262ACE"/>
    <w:rsid w:val="00266219"/>
    <w:rsid w:val="00266BDC"/>
    <w:rsid w:val="002712FD"/>
    <w:rsid w:val="002D10E5"/>
    <w:rsid w:val="00365285"/>
    <w:rsid w:val="00366AF2"/>
    <w:rsid w:val="00395BF7"/>
    <w:rsid w:val="003A3AE6"/>
    <w:rsid w:val="003C4E08"/>
    <w:rsid w:val="003E65AC"/>
    <w:rsid w:val="00417EE6"/>
    <w:rsid w:val="004459EA"/>
    <w:rsid w:val="004504DB"/>
    <w:rsid w:val="0045617D"/>
    <w:rsid w:val="00470357"/>
    <w:rsid w:val="004C501D"/>
    <w:rsid w:val="004C6301"/>
    <w:rsid w:val="004C6A5F"/>
    <w:rsid w:val="004F2E9A"/>
    <w:rsid w:val="005108AB"/>
    <w:rsid w:val="00512750"/>
    <w:rsid w:val="00516ADA"/>
    <w:rsid w:val="0052515D"/>
    <w:rsid w:val="005653EC"/>
    <w:rsid w:val="005E777D"/>
    <w:rsid w:val="00640BBC"/>
    <w:rsid w:val="006734D5"/>
    <w:rsid w:val="006865CD"/>
    <w:rsid w:val="006C2BD4"/>
    <w:rsid w:val="00731DD5"/>
    <w:rsid w:val="007522C6"/>
    <w:rsid w:val="007C5979"/>
    <w:rsid w:val="007C74E3"/>
    <w:rsid w:val="007D2F86"/>
    <w:rsid w:val="008414BB"/>
    <w:rsid w:val="00853664"/>
    <w:rsid w:val="00856E89"/>
    <w:rsid w:val="008930FB"/>
    <w:rsid w:val="008D68B5"/>
    <w:rsid w:val="008F72DC"/>
    <w:rsid w:val="009820F2"/>
    <w:rsid w:val="00992559"/>
    <w:rsid w:val="00A05203"/>
    <w:rsid w:val="00A17A56"/>
    <w:rsid w:val="00A2250C"/>
    <w:rsid w:val="00A241D1"/>
    <w:rsid w:val="00A74041"/>
    <w:rsid w:val="00AA286D"/>
    <w:rsid w:val="00AA5C62"/>
    <w:rsid w:val="00AB31BC"/>
    <w:rsid w:val="00AC02FA"/>
    <w:rsid w:val="00AE0B41"/>
    <w:rsid w:val="00B2119F"/>
    <w:rsid w:val="00B8281E"/>
    <w:rsid w:val="00B9702A"/>
    <w:rsid w:val="00BE7A3D"/>
    <w:rsid w:val="00BF3B1C"/>
    <w:rsid w:val="00C03CCA"/>
    <w:rsid w:val="00C12BD7"/>
    <w:rsid w:val="00C26D61"/>
    <w:rsid w:val="00C7632F"/>
    <w:rsid w:val="00CB5660"/>
    <w:rsid w:val="00CD0B3B"/>
    <w:rsid w:val="00CE05E4"/>
    <w:rsid w:val="00CF2EF3"/>
    <w:rsid w:val="00D06ACB"/>
    <w:rsid w:val="00D56A1A"/>
    <w:rsid w:val="00D82A9F"/>
    <w:rsid w:val="00D9415E"/>
    <w:rsid w:val="00DA62B8"/>
    <w:rsid w:val="00E1365A"/>
    <w:rsid w:val="00E42EDF"/>
    <w:rsid w:val="00E95C3F"/>
    <w:rsid w:val="00EA6C64"/>
    <w:rsid w:val="00EA78CC"/>
    <w:rsid w:val="00EC4196"/>
    <w:rsid w:val="00ED3681"/>
    <w:rsid w:val="00F25CC6"/>
    <w:rsid w:val="00F41807"/>
    <w:rsid w:val="00FA3EA7"/>
    <w:rsid w:val="00FF388F"/>
    <w:rsid w:val="010827C0"/>
    <w:rsid w:val="03070D69"/>
    <w:rsid w:val="04C548E6"/>
    <w:rsid w:val="04D467A8"/>
    <w:rsid w:val="06FB1D5D"/>
    <w:rsid w:val="08A118B5"/>
    <w:rsid w:val="08CF3930"/>
    <w:rsid w:val="08F129ED"/>
    <w:rsid w:val="0A3951CC"/>
    <w:rsid w:val="0B0B35D9"/>
    <w:rsid w:val="0C8D288F"/>
    <w:rsid w:val="0DF02F5A"/>
    <w:rsid w:val="0FE10DAC"/>
    <w:rsid w:val="10CB2FBC"/>
    <w:rsid w:val="14446EA3"/>
    <w:rsid w:val="14812B5E"/>
    <w:rsid w:val="14C031AC"/>
    <w:rsid w:val="195A572B"/>
    <w:rsid w:val="1AA337E2"/>
    <w:rsid w:val="1ACB31B0"/>
    <w:rsid w:val="1BDA2DC0"/>
    <w:rsid w:val="1D900D1D"/>
    <w:rsid w:val="1DD7559C"/>
    <w:rsid w:val="1ECA42FF"/>
    <w:rsid w:val="1FB16099"/>
    <w:rsid w:val="21E604A4"/>
    <w:rsid w:val="298F35FF"/>
    <w:rsid w:val="2BC77B32"/>
    <w:rsid w:val="2C330C5D"/>
    <w:rsid w:val="30E42E72"/>
    <w:rsid w:val="31442AF1"/>
    <w:rsid w:val="33BC2E13"/>
    <w:rsid w:val="33E81E5A"/>
    <w:rsid w:val="35A1766F"/>
    <w:rsid w:val="36F00AC0"/>
    <w:rsid w:val="38161B5C"/>
    <w:rsid w:val="38EC355F"/>
    <w:rsid w:val="39AB5E03"/>
    <w:rsid w:val="3AFA6D34"/>
    <w:rsid w:val="3BF573A3"/>
    <w:rsid w:val="3BFD11A1"/>
    <w:rsid w:val="3CCA18CB"/>
    <w:rsid w:val="3D8E5820"/>
    <w:rsid w:val="3DCD438F"/>
    <w:rsid w:val="3DCE213A"/>
    <w:rsid w:val="42DA1507"/>
    <w:rsid w:val="43B6162D"/>
    <w:rsid w:val="43C92D43"/>
    <w:rsid w:val="443B7D84"/>
    <w:rsid w:val="44C83AE9"/>
    <w:rsid w:val="461D1E37"/>
    <w:rsid w:val="4A737B73"/>
    <w:rsid w:val="4C5F4686"/>
    <w:rsid w:val="4D573E80"/>
    <w:rsid w:val="4D693E07"/>
    <w:rsid w:val="4D9B7EC7"/>
    <w:rsid w:val="4FEF1368"/>
    <w:rsid w:val="508B5BEF"/>
    <w:rsid w:val="50B6598C"/>
    <w:rsid w:val="50C36206"/>
    <w:rsid w:val="516D2A12"/>
    <w:rsid w:val="53D61877"/>
    <w:rsid w:val="5581786A"/>
    <w:rsid w:val="571132F2"/>
    <w:rsid w:val="57882994"/>
    <w:rsid w:val="57E83927"/>
    <w:rsid w:val="587F1580"/>
    <w:rsid w:val="58A6751B"/>
    <w:rsid w:val="592276ED"/>
    <w:rsid w:val="59340778"/>
    <w:rsid w:val="5A4237C2"/>
    <w:rsid w:val="5AB13136"/>
    <w:rsid w:val="5C781916"/>
    <w:rsid w:val="5E916AC6"/>
    <w:rsid w:val="5F0A5679"/>
    <w:rsid w:val="5F8B1768"/>
    <w:rsid w:val="608A7C71"/>
    <w:rsid w:val="63345B86"/>
    <w:rsid w:val="648A4DA5"/>
    <w:rsid w:val="657B3E04"/>
    <w:rsid w:val="65A05841"/>
    <w:rsid w:val="66822974"/>
    <w:rsid w:val="66A51361"/>
    <w:rsid w:val="67471543"/>
    <w:rsid w:val="681F3395"/>
    <w:rsid w:val="6C5C0226"/>
    <w:rsid w:val="6CF42C0A"/>
    <w:rsid w:val="6F0F4C83"/>
    <w:rsid w:val="71B0642B"/>
    <w:rsid w:val="724032E9"/>
    <w:rsid w:val="76432944"/>
    <w:rsid w:val="76C21ABB"/>
    <w:rsid w:val="786E48D8"/>
    <w:rsid w:val="7AD65B35"/>
    <w:rsid w:val="7C6C661C"/>
    <w:rsid w:val="7E755665"/>
    <w:rsid w:val="7EA054E4"/>
    <w:rsid w:val="7F370C97"/>
    <w:rsid w:val="CFDDEE62"/>
    <w:rsid w:val="F4FF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6">
    <w:name w:val="Body Text Indent"/>
    <w:basedOn w:val="1"/>
    <w:next w:val="1"/>
    <w:link w:val="18"/>
    <w:unhideWhenUsed/>
    <w:qFormat/>
    <w:uiPriority w:val="99"/>
    <w:pPr>
      <w:adjustRightInd w:val="0"/>
      <w:snapToGrid w:val="0"/>
      <w:spacing w:after="120" w:line="560" w:lineRule="exact"/>
      <w:ind w:left="420" w:leftChars="200" w:firstLine="640" w:firstLineChars="200"/>
    </w:pPr>
    <w:rPr>
      <w:rFonts w:ascii="仿宋_GB2312" w:hAnsi="仿宋_GB2312" w:eastAsia="仿宋_GB2312" w:cs="Times New Roman"/>
      <w:bCs/>
      <w:kern w:val="0"/>
      <w:sz w:val="32"/>
      <w:szCs w:val="3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1">
    <w:name w:val="Body Text First Indent 2"/>
    <w:basedOn w:val="6"/>
    <w:next w:val="6"/>
    <w:qFormat/>
    <w:uiPriority w:val="0"/>
    <w:pPr>
      <w:widowControl w:val="0"/>
      <w:spacing w:beforeLines="0" w:after="120" w:afterLines="0"/>
      <w:ind w:left="420" w:leftChars="200" w:firstLine="420" w:firstLineChars="200"/>
      <w:jc w:val="both"/>
    </w:pPr>
    <w:rPr>
      <w:rFonts w:hint="default" w:ascii="Calibri" w:hAnsi="Calibri" w:eastAsia="仿宋_GB2312" w:cs="Times New Roman"/>
      <w:kern w:val="2"/>
      <w:sz w:val="21"/>
      <w:szCs w:val="32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正文文本缩进 Char"/>
    <w:basedOn w:val="14"/>
    <w:link w:val="6"/>
    <w:qFormat/>
    <w:uiPriority w:val="99"/>
    <w:rPr>
      <w:rFonts w:ascii="仿宋_GB2312" w:hAnsi="仿宋_GB2312" w:eastAsia="仿宋_GB2312" w:cs="Times New Roman"/>
      <w:bCs/>
      <w:kern w:val="0"/>
      <w:sz w:val="32"/>
      <w:szCs w:val="32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7511</Words>
  <Characters>8127</Characters>
  <Lines>55</Lines>
  <Paragraphs>15</Paragraphs>
  <TotalTime>3</TotalTime>
  <ScaleCrop>false</ScaleCrop>
  <LinksUpToDate>false</LinksUpToDate>
  <CharactersWithSpaces>8316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2025-01-05T00:29:00Z</dcterms:created>
  <dc:creator>Lenovo</dc:creator>
  <cp:lastModifiedBy>Administrator</cp:lastModifiedBy>
  <cp:lastPrinted>2026-01-27T09:06:00Z</cp:lastPrinted>
  <dcterms:modified xsi:type="dcterms:W3CDTF">2026-03-03T02:51:26Z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eyJoZGlkIjoiYjJjOTQxYzhjODMyMDAzZmE0MDJkMWFkNmJlNDkwYTUiLCJ1c2VySWQiOiIyMzQzMzI5ODcifQ==</vt:lpwstr>
  </property>
  <property fmtid="{D5CDD505-2E9C-101B-9397-08002B2CF9AE}" pid="3" name="KSOProductBuildVer">
    <vt:lpwstr>2052-11.8.2.12118</vt:lpwstr>
  </property>
  <property fmtid="{D5CDD505-2E9C-101B-9397-08002B2CF9AE}" pid="4" name="ICV">
    <vt:lpwstr>ECED592EB0F342828C8D45011F3A8918_13</vt:lpwstr>
  </property>
</Properties>
</file>