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1320" w:firstLineChars="300"/>
        <w:jc w:val="left"/>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2024</w:t>
      </w:r>
      <w:r>
        <w:rPr>
          <w:rFonts w:hint="eastAsia" w:ascii="方正小标宋简体" w:hAnsi="方正小标宋简体" w:eastAsia="方正小标宋简体" w:cs="方正小标宋简体"/>
          <w:color w:val="000000"/>
          <w:kern w:val="0"/>
          <w:sz w:val="44"/>
          <w:szCs w:val="44"/>
          <w:lang w:val="en-US" w:eastAsia="zh-CN" w:bidi="ar"/>
        </w:rPr>
        <w:t>年沙湾市床上用品产品质量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2640" w:firstLineChars="600"/>
        <w:jc w:val="left"/>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 xml:space="preserve">监督抽查实施细则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本细则规定了此产品的抽样方法、检验依据、检验项目、检验方法、判定原则等，适用沙湾市市场监督管理局组织的床上用品产品质量监督抽查。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1 抽样方法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抽样型号或规格：根据产品的销售单元（件、条、套），以随机抽样的方式，</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在被抽样生产者、销售者的待销产品中抽取同一批次相同款式（货号或款号）、相同花型和相同颜色的产品，随机数一般可使用随机数表等方法产生。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表 1 抽样数量 </w:t>
      </w:r>
    </w:p>
    <w:tbl>
      <w:tblPr>
        <w:tblStyle w:val="3"/>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45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产品</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抽样数量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p>
        </w:tc>
        <w:tc>
          <w:tcPr>
            <w:tcW w:w="24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检验样品数量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备用样品数量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被套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 件/条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p>
        </w:tc>
        <w:tc>
          <w:tcPr>
            <w:tcW w:w="24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 件/条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 件/条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2 检验依据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80" w:firstLineChars="9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表 2 床上用品检验项目</w:t>
      </w:r>
    </w:p>
    <w:tbl>
      <w:tblPr>
        <w:tblStyle w:val="3"/>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278"/>
        <w:gridCol w:w="2208"/>
        <w:gridCol w:w="145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序 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22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检验项目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22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单项判定依据标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准条款</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强制性/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推荐性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2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检验方法标准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2278"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纤维含量</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2208"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明示纤维成分及</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含量</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GB/T29862-2013</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产品明示</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2625" w:type="dxa"/>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FZ/T01057.2～4-2007 GB/T2910（所有部分）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FZ/T01026-2017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FZ/T01095-2002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FZ/T01101-2008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GB/T29862-2013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227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甲醛含量 </w:t>
            </w:r>
          </w:p>
        </w:tc>
        <w:tc>
          <w:tcPr>
            <w:tcW w:w="220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GB18401-2010</w:t>
            </w:r>
          </w:p>
        </w:tc>
        <w:tc>
          <w:tcPr>
            <w:tcW w:w="145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强制性</w:t>
            </w:r>
          </w:p>
        </w:tc>
        <w:tc>
          <w:tcPr>
            <w:tcW w:w="26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13"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227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pH 值</w:t>
            </w:r>
          </w:p>
        </w:tc>
        <w:tc>
          <w:tcPr>
            <w:tcW w:w="220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GB18401-2010</w:t>
            </w:r>
          </w:p>
        </w:tc>
        <w:tc>
          <w:tcPr>
            <w:tcW w:w="145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强制性</w:t>
            </w:r>
          </w:p>
        </w:tc>
        <w:tc>
          <w:tcPr>
            <w:tcW w:w="26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13"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4</w:t>
            </w:r>
          </w:p>
        </w:tc>
        <w:tc>
          <w:tcPr>
            <w:tcW w:w="227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耐干摩擦色牢度</w:t>
            </w:r>
          </w:p>
        </w:tc>
        <w:tc>
          <w:tcPr>
            <w:tcW w:w="220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GB18401-2010 </w:t>
            </w:r>
          </w:p>
        </w:tc>
        <w:tc>
          <w:tcPr>
            <w:tcW w:w="145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强制性</w:t>
            </w:r>
          </w:p>
        </w:tc>
        <w:tc>
          <w:tcPr>
            <w:tcW w:w="26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227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耐 汗 渍 色 牢 度（耐酸、耐碱） </w:t>
            </w:r>
          </w:p>
        </w:tc>
        <w:tc>
          <w:tcPr>
            <w:tcW w:w="220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GB18401-2010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1455"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强制性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p>
        </w:tc>
        <w:tc>
          <w:tcPr>
            <w:tcW w:w="2625"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GB/T3922-2013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rPr>
        <w:tc>
          <w:tcPr>
            <w:tcW w:w="1013"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lang w:val="en-US" w:eastAsia="zh-CN" w:bidi="ar"/>
              </w:rPr>
            </w:pPr>
          </w:p>
        </w:tc>
        <w:tc>
          <w:tcPr>
            <w:tcW w:w="2278"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耐水色牢度</w:t>
            </w:r>
          </w:p>
        </w:tc>
        <w:tc>
          <w:tcPr>
            <w:tcW w:w="2208"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GB18401-2010</w:t>
            </w:r>
          </w:p>
        </w:tc>
        <w:tc>
          <w:tcPr>
            <w:tcW w:w="1455"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强制性</w:t>
            </w:r>
          </w:p>
        </w:tc>
        <w:tc>
          <w:tcPr>
            <w:tcW w:w="2625"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GB/T 5713-2013</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执行企业标准、团体标准、地方标准的产品，检验项目参照上述内容执行。凡是注日期的文件，其随后所有的修改单（不包括勘误的内容）或修订版不适用于本细则。凡是不注日期的文件，其最新版本适用于本细则。</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 xml:space="preserve">3 判定规则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3.1 依据标准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GB/T29862-2013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纺织品纤维含量标识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GB18401-2010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国家纺织产品基本安全技术规范、现行有效的企业标准、团体标准、地方标准及产品明示质量要求。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3.2 判定原则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经检验，检验项目全部合格，判定为被抽查产品所检项目未发现不合格；检验项目中任一项或一项以上不合格，判定为被抽查产品不合格。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若被检产品明示的质量要求高于本细则中检验项目依据的标准要求时，应按被检产品明示的质量要求判定。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若被检产品明示的质量要求低于本细则中检验项目依据的强制性标准要求时，应按照强制性标准要求判定。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若被检产品明示的质量要求低于或包含本细则中检验项目依据的推荐性标准要求时，应以被检产品明示的质量要求判定。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若被检产品明示的质量要求缺少本细则中检验项目依据的强制性标准要求时，应按照强制性标准要求判定。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28E77888"/>
    <w:rsid w:val="00593920"/>
    <w:rsid w:val="0E022118"/>
    <w:rsid w:val="0EB90A7B"/>
    <w:rsid w:val="0FE23806"/>
    <w:rsid w:val="17435AE4"/>
    <w:rsid w:val="24B424D1"/>
    <w:rsid w:val="28E77888"/>
    <w:rsid w:val="35BA5CF7"/>
    <w:rsid w:val="37D14433"/>
    <w:rsid w:val="42296B31"/>
    <w:rsid w:val="6E906681"/>
    <w:rsid w:val="6EB6672D"/>
    <w:rsid w:val="7BFD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830</Words>
  <Characters>1065</Characters>
  <Lines>0</Lines>
  <Paragraphs>0</Paragraphs>
  <TotalTime>1</TotalTime>
  <ScaleCrop>false</ScaleCrop>
  <LinksUpToDate>false</LinksUpToDate>
  <CharactersWithSpaces>1115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2024-08-07T05:13:00Z</dcterms:created>
  <dc:creator>Administrator</dc:creator>
  <cp:lastModifiedBy>WPS_1650296834</cp:lastModifiedBy>
  <dcterms:modified xsi:type="dcterms:W3CDTF">2024-08-14T08:36:46Z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36E3C85DCFD54F5E9F3AF488F01FF2FF</vt:lpwstr>
  </property>
</Properties>
</file>