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rPr>
      </w:pPr>
      <w:bookmarkStart w:id="0" w:name="_Toc25489"/>
      <w:bookmarkStart w:id="1" w:name="_Toc20481"/>
      <w:bookmarkStart w:id="2" w:name="_Toc18315"/>
      <w:r>
        <w:rPr>
          <w:rFonts w:hint="eastAsia"/>
        </w:rPr>
        <w:t>公司简介</w:t>
      </w:r>
      <w:bookmarkEnd w:id="0"/>
      <w:bookmarkEnd w:id="1"/>
      <w:bookmarkEnd w:id="2"/>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新正检验检测有限公司（以下简称公司）是依据《中华人民共和国公司法》等法律法规，按照《检验检测机构资质认定能力评价检验检测机构通用要求》于2020年4月30日成立的具有独立法人地位的第三方检测服务机构。登记机关为新疆生产建设兵团第十二师市场监督管理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经营范围包括检测服务、检验检疫服务、计量服务、质检技术服务等。注册地址为乌鲁木齐市（第十二师）沙依巴克区104团西山西街465联合服务办公楼2栋1层2号，注册资本5000万。</w:t>
      </w:r>
    </w:p>
    <w:p>
      <w:pPr>
        <w:rPr>
          <w:rFonts w:hint="eastAsia" w:ascii="宋体" w:hAnsi="宋体" w:eastAsia="宋体" w:cs="宋体"/>
          <w:sz w:val="24"/>
          <w:szCs w:val="22"/>
        </w:rPr>
      </w:pPr>
      <w:r>
        <w:rPr>
          <w:rFonts w:hint="eastAsia" w:ascii="宋体" w:hAnsi="宋体" w:eastAsia="宋体" w:cs="宋体"/>
          <w:sz w:val="24"/>
          <w:szCs w:val="22"/>
        </w:rPr>
        <w:drawing>
          <wp:inline distT="0" distB="0" distL="114300" distR="114300">
            <wp:extent cx="5329555" cy="4277360"/>
            <wp:effectExtent l="0" t="0" r="4445" b="889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6"/>
                    <a:stretch>
                      <a:fillRect/>
                    </a:stretch>
                  </pic:blipFill>
                  <pic:spPr>
                    <a:xfrm>
                      <a:off x="0" y="0"/>
                      <a:ext cx="5329555" cy="4277360"/>
                    </a:xfrm>
                    <a:prstGeom prst="rect">
                      <a:avLst/>
                    </a:prstGeom>
                    <a:noFill/>
                    <a:ln>
                      <a:noFill/>
                    </a:ln>
                  </pic:spPr>
                </pic:pic>
              </a:graphicData>
            </a:graphic>
          </wp:inline>
        </w:drawing>
      </w:r>
    </w:p>
    <w:p>
      <w:pPr>
        <w:pStyle w:val="2"/>
        <w:rPr>
          <w:rFonts w:hint="eastAsia" w:ascii="宋体" w:hAnsi="宋体" w:eastAsia="宋体" w:cs="宋体"/>
          <w:sz w:val="28"/>
          <w:szCs w:val="22"/>
        </w:rPr>
      </w:pPr>
    </w:p>
    <w:p>
      <w:pPr>
        <w:rPr>
          <w:rFonts w:hint="eastAsia" w:ascii="宋体" w:hAnsi="宋体" w:eastAsia="宋体" w:cs="宋体"/>
          <w:sz w:val="24"/>
          <w:szCs w:val="22"/>
          <w:lang w:val="en-US" w:eastAsia="zh-CN"/>
        </w:rPr>
      </w:pPr>
    </w:p>
    <w:p>
      <w:pPr>
        <w:pStyle w:val="6"/>
        <w:bidi w:val="0"/>
        <w:rPr>
          <w:rFonts w:hint="eastAsia"/>
        </w:rPr>
      </w:pPr>
      <w:bookmarkStart w:id="3" w:name="_Toc4379"/>
      <w:bookmarkStart w:id="4" w:name="_Toc10874"/>
      <w:bookmarkStart w:id="5" w:name="_Toc9237"/>
      <w:bookmarkStart w:id="6" w:name="_Toc361"/>
      <w:r>
        <w:rPr>
          <w:rFonts w:hint="eastAsia"/>
          <w:lang w:eastAsia="zh-CN"/>
        </w:rPr>
        <w:t>实验室功能区域简介</w:t>
      </w:r>
      <w:bookmarkEnd w:id="3"/>
      <w:bookmarkEnd w:id="4"/>
      <w:bookmarkEnd w:id="5"/>
      <w:bookmarkEnd w:id="6"/>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1、样品室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仪器设备配置：变温冷藏冷冻冰箱、车载冰箱、数显温湿度计等。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功能：样品的保存、制备、流转。</w:t>
      </w:r>
    </w:p>
    <w:p>
      <w:pPr>
        <w:pStyle w:val="1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宋体"/>
          <w:sz w:val="22"/>
          <w:szCs w:val="22"/>
        </w:rPr>
      </w:pPr>
      <w:r>
        <w:rPr>
          <w:rFonts w:hint="eastAsia" w:ascii="宋体" w:hAnsi="宋体" w:eastAsia="宋体" w:cs="宋体"/>
          <w:kern w:val="0"/>
          <w:sz w:val="20"/>
          <w:szCs w:val="20"/>
          <w:lang w:val="en-US" w:eastAsia="zh-CN" w:bidi="ar"/>
        </w:rPr>
        <w:drawing>
          <wp:inline distT="0" distB="0" distL="114300" distR="114300">
            <wp:extent cx="3700780" cy="2468245"/>
            <wp:effectExtent l="0" t="0" r="13970" b="8255"/>
            <wp:docPr id="664" name="图片 162" descr="DSC_08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图片 162" descr="DSC_0878(1)"/>
                    <pic:cNvPicPr>
                      <a:picLocks noChangeAspect="1"/>
                    </pic:cNvPicPr>
                  </pic:nvPicPr>
                  <pic:blipFill>
                    <a:blip r:embed="rId7"/>
                    <a:stretch>
                      <a:fillRect/>
                    </a:stretch>
                  </pic:blipFill>
                  <pic:spPr>
                    <a:xfrm>
                      <a:off x="0" y="0"/>
                      <a:ext cx="3700780" cy="2468245"/>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2、理化室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仪器设备配置：全自动凯氏定氮仪、紫外可见分光光度计、自动旋光仪、自动电位滴定仪、阿贝折光仪、油脂烟点测定仪、罗维朋比色计、面筋数量和质量测定仪、磁性金属物测定仪、电导率仪、酸度计等。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功能：食品中蛋白质、脂肪、淀粉、总糖、酸价、过氧化值、食盐、二氧化硫、可溶性固形物等理化指标的检测。</w:t>
      </w:r>
    </w:p>
    <w:p>
      <w:pPr>
        <w:pStyle w:val="14"/>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sz w:val="22"/>
          <w:szCs w:val="22"/>
        </w:rPr>
      </w:pPr>
      <w:r>
        <w:rPr>
          <w:rFonts w:hint="eastAsia" w:ascii="宋体" w:hAnsi="宋体" w:eastAsia="宋体" w:cs="宋体"/>
          <w:kern w:val="0"/>
          <w:sz w:val="20"/>
          <w:szCs w:val="20"/>
          <w:lang w:val="en-US" w:eastAsia="zh-CN" w:bidi="ar"/>
        </w:rPr>
        <w:drawing>
          <wp:inline distT="0" distB="0" distL="114300" distR="114300">
            <wp:extent cx="3669665" cy="2392680"/>
            <wp:effectExtent l="0" t="0" r="6985" b="7620"/>
            <wp:docPr id="671" name="图片 163" descr="DSC_08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图片 163" descr="DSC_0803(1)"/>
                    <pic:cNvPicPr>
                      <a:picLocks noChangeAspect="1"/>
                    </pic:cNvPicPr>
                  </pic:nvPicPr>
                  <pic:blipFill>
                    <a:blip r:embed="rId8"/>
                    <a:stretch>
                      <a:fillRect/>
                    </a:stretch>
                  </pic:blipFill>
                  <pic:spPr>
                    <a:xfrm>
                      <a:off x="0" y="0"/>
                      <a:ext cx="3669665" cy="239268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lang w:val="en-US" w:eastAsia="zh-CN" w:bidi="ar"/>
        </w:rPr>
      </w:pP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3、高温室</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仪器设备配置：电热鼓风干燥箱、真空干燥箱、高温箱式电阻炉等。</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功能：食品中水分、灰分的检测。</w:t>
      </w:r>
    </w:p>
    <w:p>
      <w:pPr>
        <w:pStyle w:val="14"/>
        <w:keepNext w:val="0"/>
        <w:keepLines w:val="0"/>
        <w:widowControl w:val="0"/>
        <w:suppressLineNumbers w:val="0"/>
        <w:spacing w:before="0" w:beforeAutospacing="0" w:after="0" w:afterAutospacing="0" w:line="240" w:lineRule="auto"/>
        <w:ind w:left="0" w:right="0" w:firstLine="0" w:firstLineChars="0"/>
        <w:jc w:val="center"/>
        <w:rPr>
          <w:rFonts w:hint="eastAsia" w:ascii="宋体" w:hAnsi="宋体" w:eastAsia="宋体" w:cs="宋体"/>
          <w:sz w:val="22"/>
          <w:szCs w:val="22"/>
        </w:rPr>
      </w:pPr>
      <w:r>
        <w:rPr>
          <w:rFonts w:hint="eastAsia" w:ascii="宋体" w:hAnsi="宋体" w:eastAsia="宋体" w:cs="宋体"/>
          <w:kern w:val="0"/>
          <w:sz w:val="20"/>
          <w:szCs w:val="20"/>
          <w:lang w:val="en-US" w:eastAsia="zh-CN" w:bidi="ar"/>
        </w:rPr>
        <w:drawing>
          <wp:inline distT="0" distB="0" distL="114300" distR="114300">
            <wp:extent cx="4513580" cy="2936875"/>
            <wp:effectExtent l="0" t="0" r="1270" b="15875"/>
            <wp:docPr id="672" name="图片 164" descr="高温室(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图片 164" descr="高温室(1)"/>
                    <pic:cNvPicPr>
                      <a:picLocks noChangeAspect="1"/>
                    </pic:cNvPicPr>
                  </pic:nvPicPr>
                  <pic:blipFill>
                    <a:blip r:embed="rId9"/>
                    <a:stretch>
                      <a:fillRect/>
                    </a:stretch>
                  </pic:blipFill>
                  <pic:spPr>
                    <a:xfrm>
                      <a:off x="0" y="0"/>
                      <a:ext cx="4513580" cy="2936875"/>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4、天平室</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仪器设备配置：十万分之一天平、万分之一天平等。</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功能：样品的精密称量。</w:t>
      </w:r>
    </w:p>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drawing>
          <wp:inline distT="0" distB="0" distL="114300" distR="114300">
            <wp:extent cx="4631690" cy="3157855"/>
            <wp:effectExtent l="0" t="0" r="16510" b="4445"/>
            <wp:docPr id="665" name="图片 165" descr="DSC_08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图片 165" descr="DSC_0856(1)"/>
                    <pic:cNvPicPr>
                      <a:picLocks noChangeAspect="1"/>
                    </pic:cNvPicPr>
                  </pic:nvPicPr>
                  <pic:blipFill>
                    <a:blip r:embed="rId10"/>
                    <a:stretch>
                      <a:fillRect/>
                    </a:stretch>
                  </pic:blipFill>
                  <pic:spPr>
                    <a:xfrm>
                      <a:off x="0" y="0"/>
                      <a:ext cx="4631690" cy="3157855"/>
                    </a:xfrm>
                    <a:prstGeom prst="rect">
                      <a:avLst/>
                    </a:prstGeom>
                    <a:noFill/>
                    <a:ln>
                      <a:noFill/>
                    </a:ln>
                  </pic:spPr>
                </pic:pic>
              </a:graphicData>
            </a:graphic>
          </wp:inline>
        </w:drawing>
      </w:r>
    </w:p>
    <w:p>
      <w:pPr>
        <w:pStyle w:val="2"/>
        <w:rPr>
          <w:rFonts w:hint="eastAsia"/>
          <w:lang w:val="en-US"/>
        </w:rPr>
      </w:pP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5、标准品室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仪器设备配置：超低温冰箱、冷冻冰箱、冷藏立式柜等。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功能：标准物质、培养基、标准菌株的保存。</w:t>
      </w:r>
    </w:p>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drawing>
          <wp:inline distT="0" distB="0" distL="114300" distR="114300">
            <wp:extent cx="3902075" cy="2675255"/>
            <wp:effectExtent l="0" t="0" r="3175" b="10795"/>
            <wp:docPr id="693" name="图片 166" descr="DSC_08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166" descr="DSC_0872(1)"/>
                    <pic:cNvPicPr>
                      <a:picLocks noChangeAspect="1"/>
                    </pic:cNvPicPr>
                  </pic:nvPicPr>
                  <pic:blipFill>
                    <a:blip r:embed="rId11"/>
                    <a:stretch>
                      <a:fillRect/>
                    </a:stretch>
                  </pic:blipFill>
                  <pic:spPr>
                    <a:xfrm>
                      <a:off x="0" y="0"/>
                      <a:ext cx="3902075" cy="2675255"/>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6、无机室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仪器设备配置：电感耦合等离子体质谱仪、原子吸收分光光度计、液相色谱原子荧光联用仪等。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功能：食品中重金属污染物（铅、镉、铬、总砷、无机砷、总汞、甲基汞等）以及微量元素（铝、铁、锌、硒、铜）的检测。</w:t>
      </w:r>
    </w:p>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drawing>
          <wp:inline distT="0" distB="0" distL="114300" distR="114300">
            <wp:extent cx="3896995" cy="2665730"/>
            <wp:effectExtent l="0" t="0" r="8255" b="1270"/>
            <wp:docPr id="690" name="图片 167" descr="电感耦合等离子体质谱仪(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167" descr="电感耦合等离子体质谱仪(1)"/>
                    <pic:cNvPicPr>
                      <a:picLocks noChangeAspect="1"/>
                    </pic:cNvPicPr>
                  </pic:nvPicPr>
                  <pic:blipFill>
                    <a:blip r:embed="rId12"/>
                    <a:stretch>
                      <a:fillRect/>
                    </a:stretch>
                  </pic:blipFill>
                  <pic:spPr>
                    <a:xfrm>
                      <a:off x="0" y="0"/>
                      <a:ext cx="3896995" cy="2665730"/>
                    </a:xfrm>
                    <a:prstGeom prst="rect">
                      <a:avLst/>
                    </a:prstGeom>
                    <a:noFill/>
                    <a:ln>
                      <a:noFill/>
                    </a:ln>
                  </pic:spPr>
                </pic:pic>
              </a:graphicData>
            </a:graphic>
          </wp:inline>
        </w:drawing>
      </w:r>
    </w:p>
    <w:p>
      <w:pPr>
        <w:pStyle w:val="2"/>
        <w:rPr>
          <w:rFonts w:hint="eastAsia"/>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7、气相气质室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仪器设备配置：气相色谱质谱联用仪、气相色谱仪、旋转蒸发仪、氮吹仪、均质器等。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功能：食品中农药残留（六六六、滴滴涕、毒死蜱、甲胺磷、甲拌磷、氟虫腈等）及部分添加剂（甜蜜素、脱氢乙酸）的检测。</w:t>
      </w:r>
    </w:p>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drawing>
          <wp:inline distT="0" distB="0" distL="114300" distR="114300">
            <wp:extent cx="4333240" cy="2893695"/>
            <wp:effectExtent l="0" t="0" r="10160" b="1905"/>
            <wp:docPr id="666" name="图片 168" descr="气相气质室(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图片 168" descr="气相气质室(1)"/>
                    <pic:cNvPicPr>
                      <a:picLocks noChangeAspect="1"/>
                    </pic:cNvPicPr>
                  </pic:nvPicPr>
                  <pic:blipFill>
                    <a:blip r:embed="rId13"/>
                    <a:stretch>
                      <a:fillRect/>
                    </a:stretch>
                  </pic:blipFill>
                  <pic:spPr>
                    <a:xfrm>
                      <a:off x="0" y="0"/>
                      <a:ext cx="4333240" cy="2893695"/>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8、液相液质室</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仪器设备配置：液相色谱质谱联用仪、高效液相色谱仪、低温高速离心机、旋转蒸发仪、氮吹仪、均质器等。</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功能：食品中兽药残留（喹诺酮类药物、磺胺类药物、硝基呋喃类药物、四环素类药物、激素类药物等）、农药残留（啶虫脒、克百威、氯唑磷等）、添加剂（防腐剂、着色剂、甜味剂、抗氧化剂等）、禁用物质（三聚氰胺、甲醛次硫酸氢钠、过氧化苯甲酰、苏丹红等）、真菌毒素（黄曲霉毒素B1、黄曲霉毒素M1、展青霉素、赭曲霉毒素A等）的检测。</w:t>
      </w:r>
    </w:p>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drawing>
          <wp:inline distT="0" distB="0" distL="114300" distR="114300">
            <wp:extent cx="4768850" cy="3187700"/>
            <wp:effectExtent l="0" t="0" r="12700" b="12700"/>
            <wp:docPr id="673" name="图片 169" descr="液相液质室(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图片 169" descr="液相液质室(1)"/>
                    <pic:cNvPicPr>
                      <a:picLocks noChangeAspect="1"/>
                    </pic:cNvPicPr>
                  </pic:nvPicPr>
                  <pic:blipFill>
                    <a:blip r:embed="rId14"/>
                    <a:stretch>
                      <a:fillRect/>
                    </a:stretch>
                  </pic:blipFill>
                  <pic:spPr>
                    <a:xfrm>
                      <a:off x="0" y="0"/>
                      <a:ext cx="4768850" cy="318770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9、微生物室</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仪器设备配置：生物安全柜、超净工作台、电热恒温培养箱、霉菌培养箱、三目显微镜等。</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功能：食品中微生物项目（菌落总数、大肠菌群、霉菌、金黄色葡萄球菌、沙门氏菌、单核细胞增生李斯特氏菌、铜绿假单胞菌等）检测。</w:t>
      </w:r>
    </w:p>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drawing>
          <wp:inline distT="0" distB="0" distL="114300" distR="114300">
            <wp:extent cx="4763770" cy="3126105"/>
            <wp:effectExtent l="0" t="0" r="17780" b="17145"/>
            <wp:docPr id="667" name="图片 170" descr="超净工作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图片 170" descr="超净工作台(1)"/>
                    <pic:cNvPicPr>
                      <a:picLocks noChangeAspect="1"/>
                    </pic:cNvPicPr>
                  </pic:nvPicPr>
                  <pic:blipFill>
                    <a:blip r:embed="rId15"/>
                    <a:stretch>
                      <a:fillRect/>
                    </a:stretch>
                  </pic:blipFill>
                  <pic:spPr>
                    <a:xfrm>
                      <a:off x="0" y="0"/>
                      <a:ext cx="4763770" cy="3126105"/>
                    </a:xfrm>
                    <a:prstGeom prst="rect">
                      <a:avLst/>
                    </a:prstGeom>
                    <a:noFill/>
                    <a:ln>
                      <a:noFill/>
                    </a:ln>
                  </pic:spPr>
                </pic:pic>
              </a:graphicData>
            </a:graphic>
          </wp:inline>
        </w:drawing>
      </w:r>
    </w:p>
    <w:p>
      <w:pPr>
        <w:pStyle w:val="2"/>
        <w:rPr>
          <w:rFonts w:hint="eastAsia"/>
          <w:lang w:val="en-US"/>
        </w:rPr>
      </w:pP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10、污水处理间</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仪器设备配置：实验室污水处理设备。</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功能：实验室污水经水处理设备净化消毒后，达到国家污水排放标准，符合环保要求。</w:t>
      </w:r>
    </w:p>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drawing>
          <wp:inline distT="0" distB="0" distL="114300" distR="114300">
            <wp:extent cx="4585335" cy="3057525"/>
            <wp:effectExtent l="0" t="0" r="5715" b="9525"/>
            <wp:docPr id="675" name="图片 171" descr="DSC_0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171" descr="DSC_0876(1)"/>
                    <pic:cNvPicPr>
                      <a:picLocks noChangeAspect="1"/>
                    </pic:cNvPicPr>
                  </pic:nvPicPr>
                  <pic:blipFill>
                    <a:blip r:embed="rId16"/>
                    <a:stretch>
                      <a:fillRect/>
                    </a:stretch>
                  </pic:blipFill>
                  <pic:spPr>
                    <a:xfrm>
                      <a:off x="0" y="0"/>
                      <a:ext cx="4585335" cy="3057525"/>
                    </a:xfrm>
                    <a:prstGeom prst="rect">
                      <a:avLst/>
                    </a:prstGeom>
                    <a:noFill/>
                    <a:ln>
                      <a:noFill/>
                    </a:ln>
                  </pic:spPr>
                </pic:pic>
              </a:graphicData>
            </a:graphic>
          </wp:inline>
        </w:drawing>
      </w:r>
    </w:p>
    <w:p>
      <w:pP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br w:type="page"/>
      </w:r>
    </w:p>
    <w:p>
      <w:pPr>
        <w:pStyle w:val="6"/>
        <w:bidi w:val="0"/>
        <w:rPr>
          <w:rFonts w:hint="eastAsia"/>
        </w:rPr>
      </w:pPr>
      <w:bookmarkStart w:id="7" w:name="_Toc7387"/>
      <w:bookmarkStart w:id="8" w:name="_Toc10542"/>
      <w:bookmarkStart w:id="9" w:name="_Toc4873"/>
      <w:bookmarkStart w:id="10" w:name="_Toc24712"/>
      <w:r>
        <w:rPr>
          <w:rFonts w:hint="eastAsia"/>
          <w:lang w:eastAsia="zh-CN"/>
        </w:rPr>
        <w:t>综合实力</w:t>
      </w:r>
      <w:bookmarkEnd w:id="7"/>
      <w:bookmarkEnd w:id="8"/>
      <w:bookmarkEnd w:id="9"/>
      <w:bookmarkEnd w:id="1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highlight w:val="none"/>
          <w:lang w:val="en-US" w:eastAsia="zh-CN" w:bidi="ar"/>
        </w:rPr>
        <w:t>公司现有实验室总面积为1</w:t>
      </w:r>
      <w:r>
        <w:rPr>
          <w:rFonts w:hint="eastAsia" w:ascii="宋体" w:hAnsi="宋体" w:cs="宋体"/>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75平方米。</w:t>
      </w:r>
      <w:r>
        <w:rPr>
          <w:rFonts w:hint="eastAsia" w:ascii="宋体" w:hAnsi="宋体" w:eastAsia="宋体" w:cs="宋体"/>
          <w:kern w:val="2"/>
          <w:sz w:val="24"/>
          <w:szCs w:val="24"/>
          <w:lang w:val="en-US" w:eastAsia="zh-CN" w:bidi="ar"/>
        </w:rPr>
        <w:t>公司设有技术部、质量部、综合部、财务部、销售部。现有仪器设备100余台，设备总资产超1000万元。配备有三重四级杆液质联用仪、电感耦合等离子体质谱仪、气质联用仪、高效液相色谱仪、气相色谱仪、原子吸收光谱仪、原子荧光光谱仪、紫外可见分光光度计等大型仪器设备，并对所有仪器进行了检定校准，确保了仪器的量值溯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公司配备了开展检验活动相适应的技术管理人员和检验人员。检验检测人员均进行了相关法律法规、质量管理和专业技术知识的培训，经考核合格后，均持证上岗。公司的技术负责人、质量负责人以及各检测小组负责人均为从业多年经验丰富人员。公司自成立之日起就高度重视质量管理工作，严格按照《检验检测机构资质认定能力评价检验检测机构通用要求》要求建立了质量管理体系，制订了较为完善的质量手册、程序文件等体系文件。通过管理体系的有效运行并持续改进，使公司的检测能力得到不断发展和提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作为独立的第三方检测机构，公司牢记“传递信任，呵护健康”的使命，坚持“公正为本，精准为魂”的服务理念，为客户提供全面优质的服务。</w:t>
      </w:r>
    </w:p>
    <w:p>
      <w:pPr>
        <w:pStyle w:val="6"/>
        <w:bidi w:val="0"/>
        <w:rPr>
          <w:rFonts w:hint="eastAsia"/>
        </w:rPr>
      </w:pPr>
      <w:bookmarkStart w:id="11" w:name="_Toc815"/>
      <w:bookmarkStart w:id="12" w:name="_Toc23037"/>
      <w:bookmarkStart w:id="13" w:name="_Toc1093"/>
      <w:bookmarkStart w:id="14" w:name="_Toc20623"/>
      <w:r>
        <w:rPr>
          <w:rFonts w:hint="eastAsia"/>
          <w:lang w:eastAsia="zh-CN"/>
        </w:rPr>
        <w:t>技术实力</w:t>
      </w:r>
      <w:bookmarkEnd w:id="11"/>
      <w:bookmarkEnd w:id="12"/>
      <w:bookmarkEnd w:id="13"/>
      <w:bookmarkEnd w:id="14"/>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
        </w:rPr>
        <w:t>公司于2021年3月2日取得了新疆生产建设兵团市场监督管理局颁发的检验检测机构资质认定证书，证书编号：21310014BT07，有效期至2027年3月1日。公司检验检测资质齐全，已具备二十八大类食品及1500余项参数的检验检测能力，资质附表涵盖《国家食品安全监督抽检实施细则（2023年版）》中所有食品类别和检验项目，检测资质完全满足</w:t>
      </w:r>
      <w:r>
        <w:rPr>
          <w:rFonts w:hint="eastAsia" w:ascii="宋体" w:hAnsi="宋体" w:eastAsia="宋体" w:cs="宋体"/>
          <w:kern w:val="2"/>
          <w:sz w:val="24"/>
          <w:szCs w:val="24"/>
          <w:highlight w:val="none"/>
          <w:lang w:val="en-US" w:eastAsia="zh-CN" w:bidi="ar"/>
        </w:rPr>
        <w:t>《轮台县市场监督管理局食品安全监督抽验项目 》</w:t>
      </w:r>
      <w:r>
        <w:rPr>
          <w:rFonts w:hint="eastAsia" w:ascii="宋体" w:hAnsi="宋体" w:eastAsia="宋体" w:cs="宋体"/>
          <w:kern w:val="2"/>
          <w:sz w:val="24"/>
          <w:szCs w:val="24"/>
          <w:lang w:val="en-US" w:eastAsia="zh-CN" w:bidi="ar"/>
        </w:rPr>
        <w:t>中规定的抽检品种和项目要求。</w:t>
      </w:r>
    </w:p>
    <w:p>
      <w:pPr>
        <w:pStyle w:val="6"/>
        <w:bidi w:val="0"/>
        <w:rPr>
          <w:rFonts w:hint="eastAsia"/>
        </w:rPr>
      </w:pPr>
      <w:bookmarkStart w:id="15" w:name="_Toc28995"/>
      <w:bookmarkStart w:id="16" w:name="_Toc7508"/>
      <w:bookmarkStart w:id="17" w:name="_Toc30231"/>
      <w:bookmarkStart w:id="18" w:name="_Toc31661"/>
      <w:r>
        <w:rPr>
          <w:rFonts w:hint="eastAsia"/>
          <w:lang w:eastAsia="zh-CN"/>
        </w:rPr>
        <w:t>经济实力</w:t>
      </w:r>
      <w:bookmarkEnd w:id="15"/>
      <w:bookmarkEnd w:id="16"/>
      <w:bookmarkEnd w:id="17"/>
      <w:bookmarkEnd w:id="18"/>
    </w:p>
    <w:p>
      <w:pPr>
        <w:pStyle w:val="2"/>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公司自成立之初就定位成为一家综合性的第三方检测服务机构，前期以食品领域业务为主。2021年累计投资金额超1000万，建立了功能完善、设备先进的现代化实验室。迄今为止，未出现税收违法案件和失信行为，展示了良好的经济实力。</w:t>
      </w:r>
    </w:p>
    <w:p>
      <w:bookmarkStart w:id="19" w:name="_GoBack"/>
      <w:bookmarkEnd w:id="1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5572F"/>
    <w:multiLevelType w:val="multilevel"/>
    <w:tmpl w:val="F685572F"/>
    <w:lvl w:ilvl="0" w:tentative="0">
      <w:start w:val="1"/>
      <w:numFmt w:val="chineseCountingThousand"/>
      <w:pStyle w:val="4"/>
      <w:lvlText w:val="%1."/>
      <w:lvlJc w:val="left"/>
      <w:pPr>
        <w:tabs>
          <w:tab w:val="left" w:pos="360"/>
        </w:tabs>
        <w:ind w:left="0" w:firstLine="0"/>
      </w:pPr>
      <w:rPr>
        <w:rFonts w:hint="eastAsia"/>
      </w:rPr>
    </w:lvl>
    <w:lvl w:ilvl="1" w:tentative="0">
      <w:start w:val="1"/>
      <w:numFmt w:val="decimal"/>
      <w:pStyle w:val="5"/>
      <w:lvlText w:val="%2."/>
      <w:lvlJc w:val="left"/>
      <w:pPr>
        <w:tabs>
          <w:tab w:val="left" w:pos="360"/>
        </w:tabs>
        <w:ind w:left="0" w:firstLine="0"/>
      </w:pPr>
      <w:rPr>
        <w:rFonts w:hint="eastAsia"/>
      </w:rPr>
    </w:lvl>
    <w:lvl w:ilvl="2" w:tentative="0">
      <w:start w:val="1"/>
      <w:numFmt w:val="decimal"/>
      <w:pStyle w:val="6"/>
      <w:lvlText w:val="%2.%3."/>
      <w:lvlJc w:val="left"/>
      <w:pPr>
        <w:tabs>
          <w:tab w:val="left" w:pos="720"/>
        </w:tabs>
        <w:ind w:left="0" w:firstLine="0"/>
      </w:pPr>
      <w:rPr>
        <w:rFonts w:hint="eastAsia"/>
      </w:rPr>
    </w:lvl>
    <w:lvl w:ilvl="3" w:tentative="0">
      <w:start w:val="1"/>
      <w:numFmt w:val="decimal"/>
      <w:pStyle w:val="7"/>
      <w:lvlText w:val="%2.%3.%4."/>
      <w:lvlJc w:val="left"/>
      <w:pPr>
        <w:tabs>
          <w:tab w:val="left" w:pos="1080"/>
        </w:tabs>
        <w:ind w:left="0" w:firstLine="0"/>
      </w:pPr>
      <w:rPr>
        <w:rFonts w:hint="eastAsia"/>
      </w:rPr>
    </w:lvl>
    <w:lvl w:ilvl="4" w:tentative="0">
      <w:start w:val="1"/>
      <w:numFmt w:val="decimal"/>
      <w:pStyle w:val="8"/>
      <w:lvlText w:val="%2.%3.%4.%5."/>
      <w:lvlJc w:val="left"/>
      <w:pPr>
        <w:tabs>
          <w:tab w:val="left" w:pos="1440"/>
        </w:tabs>
        <w:ind w:left="0" w:firstLine="0"/>
      </w:pPr>
      <w:rPr>
        <w:rFonts w:hint="eastAsia"/>
      </w:rPr>
    </w:lvl>
    <w:lvl w:ilvl="5" w:tentative="0">
      <w:start w:val="1"/>
      <w:numFmt w:val="decimal"/>
      <w:pStyle w:val="9"/>
      <w:lvlText w:val="%2.%3.%4.%5.%6."/>
      <w:lvlJc w:val="left"/>
      <w:pPr>
        <w:tabs>
          <w:tab w:val="left" w:pos="1440"/>
        </w:tabs>
        <w:ind w:left="0" w:firstLine="0"/>
      </w:pPr>
      <w:rPr>
        <w:rFonts w:hint="eastAsia"/>
      </w:rPr>
    </w:lvl>
    <w:lvl w:ilvl="6" w:tentative="0">
      <w:start w:val="1"/>
      <w:numFmt w:val="decimal"/>
      <w:pStyle w:val="10"/>
      <w:lvlText w:val="%2.%3.%4.%5.%6.%7."/>
      <w:lvlJc w:val="left"/>
      <w:pPr>
        <w:tabs>
          <w:tab w:val="left" w:pos="1800"/>
        </w:tabs>
        <w:ind w:left="0" w:firstLine="0"/>
      </w:pPr>
      <w:rPr>
        <w:rFonts w:hint="eastAsia"/>
      </w:rPr>
    </w:lvl>
    <w:lvl w:ilvl="7" w:tentative="0">
      <w:start w:val="1"/>
      <w:numFmt w:val="decimal"/>
      <w:lvlRestart w:val="1"/>
      <w:pStyle w:val="11"/>
      <w:isLgl/>
      <w:lvlText w:val="表%1.%2.%3-%8"/>
      <w:lvlJc w:val="left"/>
      <w:pPr>
        <w:tabs>
          <w:tab w:val="left" w:pos="5415"/>
        </w:tabs>
        <w:ind w:left="3255" w:firstLine="0"/>
      </w:pPr>
      <w:rPr>
        <w:rFonts w:hint="eastAsia"/>
      </w:rPr>
    </w:lvl>
    <w:lvl w:ilvl="8" w:tentative="0">
      <w:start w:val="1"/>
      <w:numFmt w:val="decimal"/>
      <w:lvlRestart w:val="1"/>
      <w:pStyle w:val="12"/>
      <w:isLgl/>
      <w:lvlText w:val="图%1.%2.%3-%9"/>
      <w:lvlJc w:val="left"/>
      <w:pPr>
        <w:tabs>
          <w:tab w:val="left" w:pos="252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NWUwNTM3MjgzZTFmNmIzMDkwZmNkZWIzMTZkMTIifQ=="/>
  </w:docVars>
  <w:rsids>
    <w:rsidRoot w:val="4BFB0C77"/>
    <w:rsid w:val="01A94CBD"/>
    <w:rsid w:val="02981550"/>
    <w:rsid w:val="052D167D"/>
    <w:rsid w:val="06681FF9"/>
    <w:rsid w:val="09622E43"/>
    <w:rsid w:val="0AB113C4"/>
    <w:rsid w:val="0B283352"/>
    <w:rsid w:val="0D090574"/>
    <w:rsid w:val="0F3626C3"/>
    <w:rsid w:val="12FD6E52"/>
    <w:rsid w:val="132660E4"/>
    <w:rsid w:val="16944F06"/>
    <w:rsid w:val="19495157"/>
    <w:rsid w:val="19C55C3F"/>
    <w:rsid w:val="1B3A6430"/>
    <w:rsid w:val="1C820EC4"/>
    <w:rsid w:val="226710C5"/>
    <w:rsid w:val="25CF059E"/>
    <w:rsid w:val="26166088"/>
    <w:rsid w:val="26BD0616"/>
    <w:rsid w:val="28D201FA"/>
    <w:rsid w:val="2AA22B88"/>
    <w:rsid w:val="2AFD7D5E"/>
    <w:rsid w:val="2EE7026E"/>
    <w:rsid w:val="33037E5D"/>
    <w:rsid w:val="348E76C9"/>
    <w:rsid w:val="3A58767B"/>
    <w:rsid w:val="3B511B80"/>
    <w:rsid w:val="41730DC1"/>
    <w:rsid w:val="422D352E"/>
    <w:rsid w:val="48F36043"/>
    <w:rsid w:val="4B5C19C5"/>
    <w:rsid w:val="4BFB0C77"/>
    <w:rsid w:val="4DFB2FA2"/>
    <w:rsid w:val="50AC4118"/>
    <w:rsid w:val="51C36935"/>
    <w:rsid w:val="52937DDA"/>
    <w:rsid w:val="547D1FC0"/>
    <w:rsid w:val="571B390F"/>
    <w:rsid w:val="5CF44F56"/>
    <w:rsid w:val="5EED7BF8"/>
    <w:rsid w:val="611436B6"/>
    <w:rsid w:val="63D70DB4"/>
    <w:rsid w:val="64835410"/>
    <w:rsid w:val="68054C34"/>
    <w:rsid w:val="6B7E2098"/>
    <w:rsid w:val="6C0007BA"/>
    <w:rsid w:val="6C160DBE"/>
    <w:rsid w:val="6FA71D42"/>
    <w:rsid w:val="75075866"/>
    <w:rsid w:val="750C66CD"/>
    <w:rsid w:val="76C44DF2"/>
    <w:rsid w:val="7B234ADB"/>
    <w:rsid w:val="7BEC16B2"/>
    <w:rsid w:val="7C977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0" w:firstLineChars="0"/>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keepLines/>
      <w:pageBreakBefore/>
      <w:widowControl/>
      <w:numPr>
        <w:ilvl w:val="0"/>
        <w:numId w:val="1"/>
      </w:numPr>
      <w:tabs>
        <w:tab w:val="left" w:pos="480"/>
      </w:tabs>
      <w:spacing w:before="120" w:after="120"/>
      <w:ind w:firstLineChars="0"/>
      <w:jc w:val="center"/>
      <w:outlineLvl w:val="0"/>
    </w:pPr>
    <w:rPr>
      <w:rFonts w:ascii="Times New Roman" w:hAnsi="Times New Roman" w:eastAsia="黑体" w:cs="Times New Roman"/>
      <w:bCs/>
      <w:kern w:val="44"/>
      <w:sz w:val="28"/>
      <w:szCs w:val="28"/>
    </w:rPr>
  </w:style>
  <w:style w:type="paragraph" w:styleId="5">
    <w:name w:val="heading 2"/>
    <w:basedOn w:val="1"/>
    <w:next w:val="1"/>
    <w:semiHidden/>
    <w:unhideWhenUsed/>
    <w:qFormat/>
    <w:uiPriority w:val="0"/>
    <w:pPr>
      <w:keepNext/>
      <w:keepLines/>
      <w:widowControl/>
      <w:numPr>
        <w:ilvl w:val="1"/>
        <w:numId w:val="1"/>
      </w:numPr>
      <w:tabs>
        <w:tab w:val="left" w:pos="480"/>
      </w:tabs>
      <w:spacing w:before="120" w:after="120"/>
      <w:ind w:firstLine="0" w:firstLineChars="0"/>
      <w:outlineLvl w:val="1"/>
    </w:pPr>
    <w:rPr>
      <w:rFonts w:ascii="Times New Roman" w:hAnsi="Times New Roman" w:eastAsia="宋体"/>
      <w:b/>
      <w:bCs/>
      <w:kern w:val="44"/>
      <w:szCs w:val="28"/>
    </w:rPr>
  </w:style>
  <w:style w:type="paragraph" w:styleId="6">
    <w:name w:val="heading 3"/>
    <w:basedOn w:val="1"/>
    <w:next w:val="1"/>
    <w:link w:val="17"/>
    <w:semiHidden/>
    <w:unhideWhenUsed/>
    <w:qFormat/>
    <w:uiPriority w:val="0"/>
    <w:pPr>
      <w:keepNext/>
      <w:keepLines/>
      <w:widowControl/>
      <w:numPr>
        <w:ilvl w:val="2"/>
        <w:numId w:val="1"/>
      </w:numPr>
      <w:spacing w:before="120" w:after="120"/>
      <w:ind w:firstLine="0" w:firstLineChars="0"/>
      <w:outlineLvl w:val="2"/>
    </w:pPr>
    <w:rPr>
      <w:rFonts w:ascii="Times New Roman" w:hAnsi="Times New Roman" w:eastAsia="宋体"/>
      <w:b/>
      <w:kern w:val="44"/>
      <w:szCs w:val="28"/>
    </w:rPr>
  </w:style>
  <w:style w:type="paragraph" w:styleId="7">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Chars="0"/>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Chars="0"/>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Chars="0"/>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Chars="0"/>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3255" w:firstLineChars="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Chars="0"/>
      <w:outlineLvl w:val="8"/>
    </w:pPr>
    <w:rPr>
      <w:rFonts w:ascii="Arial" w:hAnsi="Arial" w:eastAsia="黑体"/>
      <w:sz w:val="21"/>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pPr>
      <w:spacing w:before="-2147483648" w:beforeAutospacing="1" w:after="-2147483648" w:afterAutospacing="1" w:line="360" w:lineRule="auto"/>
    </w:pPr>
    <w:rPr>
      <w:rFonts w:ascii="Times New Roman" w:hAnsi="Times New Roman" w:eastAsia="宋体"/>
      <w:kern w:val="0"/>
      <w:sz w:val="20"/>
    </w:rPr>
  </w:style>
  <w:style w:type="paragraph" w:styleId="3">
    <w:name w:val="toc 2"/>
    <w:basedOn w:val="1"/>
    <w:next w:val="1"/>
    <w:qFormat/>
    <w:uiPriority w:val="39"/>
    <w:pPr>
      <w:keepLines/>
      <w:widowControl/>
      <w:tabs>
        <w:tab w:val="left" w:pos="735"/>
        <w:tab w:val="left" w:pos="1680"/>
        <w:tab w:val="right" w:leader="dot" w:pos="9380"/>
      </w:tabs>
      <w:ind w:firstLine="0" w:firstLineChars="0"/>
      <w:jc w:val="both"/>
    </w:pPr>
  </w:style>
  <w:style w:type="paragraph" w:styleId="13">
    <w:name w:val="Plain Text"/>
    <w:basedOn w:val="1"/>
    <w:qFormat/>
    <w:uiPriority w:val="0"/>
    <w:rPr>
      <w:rFonts w:ascii="宋体" w:hAnsi="Courier New"/>
    </w:rPr>
  </w:style>
  <w:style w:type="paragraph" w:styleId="14">
    <w:name w:val="Normal (Web)"/>
    <w:basedOn w:val="1"/>
    <w:next w:val="1"/>
    <w:qFormat/>
    <w:uiPriority w:val="0"/>
    <w:pPr>
      <w:widowControl/>
      <w:spacing w:before="100" w:beforeAutospacing="1" w:after="100" w:afterAutospacing="1"/>
      <w:jc w:val="left"/>
    </w:pPr>
    <w:rPr>
      <w:rFonts w:ascii="宋体" w:hAnsi="宋体"/>
      <w:color w:val="000000"/>
      <w:kern w:val="0"/>
      <w:sz w:val="24"/>
    </w:rPr>
  </w:style>
  <w:style w:type="character" w:customStyle="1" w:styleId="17">
    <w:name w:val="标题 3 Char"/>
    <w:link w:val="6"/>
    <w:qFormat/>
    <w:uiPriority w:val="0"/>
    <w:rPr>
      <w:rFonts w:ascii="Times New Roman" w:hAnsi="Times New Roman" w:eastAsia="宋体"/>
      <w:b/>
      <w:kern w:val="44"/>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2023-09-18T03:28:00Z</dcterms:created>
  <dc:creator>Administered</dc:creator>
  <cp:lastModifiedBy>Administered</cp:lastModifiedBy>
  <dcterms:modified xsi:type="dcterms:W3CDTF">2023-09-18T03:28:28Z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9A62EC75552C42A78EAA0A9C4E850B90_11</vt:lpwstr>
  </property>
</Properties>
</file>