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b/>
          <w:spacing w:val="-12"/>
          <w:sz w:val="36"/>
          <w:szCs w:val="36"/>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eastAsiaTheme="minorEastAsia"/>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eastAsiaTheme="minor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spacing w:val="-12"/>
          <w:sz w:val="44"/>
          <w:szCs w:val="44"/>
        </w:rPr>
      </w:pPr>
      <w:r>
        <w:rPr>
          <w:rFonts w:hint="eastAsia" w:ascii="方正小标宋简体" w:hAnsi="方正小标宋简体" w:eastAsia="方正小标宋简体" w:cs="方正小标宋简体"/>
          <w:b w:val="0"/>
          <w:bCs/>
          <w:spacing w:val="-12"/>
          <w:sz w:val="44"/>
          <w:szCs w:val="44"/>
        </w:rPr>
        <w:t>《新疆瑞晟城市投资发展有限公司沙湾市安集海镇砂石土集中开采区（II）-1号建筑用砂石矿矿产资源开发利用与生态保护修复方案》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spacing w:val="-12"/>
          <w:sz w:val="44"/>
          <w:szCs w:val="44"/>
        </w:rPr>
      </w:pPr>
      <w:r>
        <w:rPr>
          <w:rFonts w:hint="eastAsia" w:ascii="方正小标宋简体" w:hAnsi="方正小标宋简体" w:eastAsia="方正小标宋简体" w:cs="方正小标宋简体"/>
          <w:b w:val="0"/>
          <w:bCs/>
          <w:spacing w:val="-12"/>
          <w:sz w:val="44"/>
          <w:szCs w:val="44"/>
        </w:rPr>
        <w:t>评审意见书</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color w:val="FFFFFF" w:themeColor="background1"/>
          <w:sz w:val="32"/>
          <w:szCs w:val="32"/>
        </w:rPr>
      </w:pPr>
      <w:r>
        <w:rPr>
          <w:rFonts w:hint="eastAsia" w:ascii="宋体" w:hAnsi="宋体" w:eastAsia="宋体" w:cs="宋体"/>
          <w:color w:val="FFFFFF" w:themeColor="background1"/>
          <w:sz w:val="32"/>
          <w:szCs w:val="32"/>
        </w:rPr>
        <w:t>新自然资开垦审发[2022]×××号</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FFFFFF" w:themeColor="background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color w:val="auto"/>
          <w:sz w:val="32"/>
          <w:szCs w:val="32"/>
        </w:rPr>
      </w:pPr>
      <w:r>
        <w:rPr>
          <w:rFonts w:hint="eastAsia" w:ascii="仿宋" w:hAnsi="仿宋" w:eastAsia="仿宋" w:cs="仿宋"/>
          <w:sz w:val="32"/>
          <w:szCs w:val="32"/>
        </w:rPr>
        <w:t>二○二四年四月十五日</w:t>
      </w:r>
    </w:p>
    <w:p>
      <w:pPr>
        <w:keepNext w:val="0"/>
        <w:keepLines w:val="0"/>
        <w:pageBreakBefore w:val="0"/>
        <w:kinsoku w:val="0"/>
        <w:wordWrap/>
        <w:overflowPunct/>
        <w:topLinePunct w:val="0"/>
        <w:bidi w:val="0"/>
        <w:adjustRightInd w:val="0"/>
        <w:snapToGrid w:val="0"/>
        <w:spacing w:line="560" w:lineRule="exact"/>
        <w:textAlignment w:val="baseline"/>
        <w:rPr>
          <w:rFonts w:ascii="宋体" w:hAnsi="宋体" w:eastAsia="宋体" w:cs="宋体"/>
        </w:rPr>
        <w:sectPr>
          <w:footerReference r:id="rId3" w:type="default"/>
          <w:pgSz w:w="11907" w:h="16839"/>
          <w:pgMar w:top="1431" w:right="1074" w:bottom="1070" w:left="1622" w:header="0" w:footer="875" w:gutter="0"/>
          <w:cols w:space="720" w:num="1"/>
        </w:sectPr>
      </w:pPr>
    </w:p>
    <w:p>
      <w:pPr>
        <w:keepNext w:val="0"/>
        <w:keepLines w:val="0"/>
        <w:pageBreakBefore w:val="0"/>
        <w:kinsoku w:val="0"/>
        <w:wordWrap/>
        <w:overflowPunct/>
        <w:topLinePunct w:val="0"/>
        <w:bidi w:val="0"/>
        <w:adjustRightInd w:val="0"/>
        <w:snapToGrid w:val="0"/>
        <w:spacing w:line="560" w:lineRule="exact"/>
        <w:ind w:firstLine="564" w:firstLineChars="200"/>
        <w:textAlignment w:val="baseline"/>
        <w:rPr>
          <w:rFonts w:ascii="宋体" w:hAnsi="宋体" w:eastAsia="宋体" w:cs="宋体"/>
          <w:spacing w:val="1"/>
          <w:sz w:val="28"/>
          <w:szCs w:val="28"/>
        </w:rPr>
      </w:pP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送审单位：新疆瑞晟城市投资发展有限公司</w:t>
      </w: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编制单位：乌鲁木齐市润天通达矿业技术咨询服务有限公司</w:t>
      </w: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项目负责人：刘忠杰</w:t>
      </w: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编制人员：刘忠杰  许文强</w:t>
      </w: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评审专家组长：张书林</w:t>
      </w: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评审专家组成员：</w:t>
      </w:r>
      <w:bookmarkStart w:id="0" w:name="_Hlk91929016"/>
      <w:r>
        <w:rPr>
          <w:rFonts w:hint="eastAsia" w:ascii="仿宋" w:hAnsi="仿宋" w:eastAsia="仿宋" w:cs="仿宋"/>
          <w:spacing w:val="1"/>
          <w:sz w:val="32"/>
          <w:szCs w:val="32"/>
        </w:rPr>
        <w:t xml:space="preserve">张书林  王勇 </w:t>
      </w:r>
      <w:bookmarkEnd w:id="0"/>
      <w:r>
        <w:rPr>
          <w:rFonts w:hint="eastAsia" w:ascii="仿宋" w:hAnsi="仿宋" w:eastAsia="仿宋" w:cs="仿宋"/>
          <w:spacing w:val="1"/>
          <w:sz w:val="32"/>
          <w:szCs w:val="32"/>
        </w:rPr>
        <w:t xml:space="preserve"> 刘湘茹  </w:t>
      </w:r>
    </w:p>
    <w:p>
      <w:pPr>
        <w:keepNext w:val="0"/>
        <w:keepLines w:val="0"/>
        <w:pageBreakBefore w:val="0"/>
        <w:kinsoku w:val="0"/>
        <w:wordWrap/>
        <w:overflowPunct/>
        <w:topLinePunct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评审时间：2024年4月15日</w:t>
      </w:r>
    </w:p>
    <w:p>
      <w:pPr>
        <w:keepNext w:val="0"/>
        <w:keepLines w:val="0"/>
        <w:pageBreakBefore w:val="0"/>
        <w:kinsoku w:val="0"/>
        <w:wordWrap/>
        <w:overflowPunct/>
        <w:topLinePunct w:val="0"/>
        <w:bidi w:val="0"/>
        <w:adjustRightInd w:val="0"/>
        <w:snapToGrid w:val="0"/>
        <w:spacing w:line="560" w:lineRule="exact"/>
        <w:ind w:firstLine="564" w:firstLineChars="200"/>
        <w:textAlignment w:val="baseline"/>
        <w:rPr>
          <w:rFonts w:ascii="宋体" w:hAnsi="宋体" w:eastAsia="宋体" w:cs="宋体"/>
          <w:spacing w:val="1"/>
          <w:sz w:val="28"/>
          <w:szCs w:val="28"/>
        </w:rPr>
      </w:pPr>
    </w:p>
    <w:p>
      <w:pPr>
        <w:keepNext w:val="0"/>
        <w:keepLines w:val="0"/>
        <w:pageBreakBefore w:val="0"/>
        <w:kinsoku w:val="0"/>
        <w:wordWrap/>
        <w:overflowPunct/>
        <w:topLinePunct w:val="0"/>
        <w:bidi w:val="0"/>
        <w:adjustRightInd w:val="0"/>
        <w:snapToGrid w:val="0"/>
        <w:spacing w:line="560" w:lineRule="exact"/>
        <w:ind w:firstLine="429"/>
        <w:textAlignment w:val="baseline"/>
        <w:rPr>
          <w:rFonts w:ascii="宋体" w:hAnsi="宋体" w:eastAsia="宋体" w:cs="宋体"/>
          <w:sz w:val="28"/>
          <w:szCs w:val="28"/>
        </w:rPr>
      </w:pPr>
    </w:p>
    <w:p>
      <w:pPr>
        <w:keepNext w:val="0"/>
        <w:keepLines w:val="0"/>
        <w:pageBreakBefore w:val="0"/>
        <w:kinsoku w:val="0"/>
        <w:wordWrap/>
        <w:overflowPunct/>
        <w:topLinePunct w:val="0"/>
        <w:bidi w:val="0"/>
        <w:adjustRightInd w:val="0"/>
        <w:snapToGrid w:val="0"/>
        <w:spacing w:line="560" w:lineRule="exact"/>
        <w:textAlignment w:val="baseline"/>
        <w:rPr>
          <w:rFonts w:ascii="宋体" w:hAnsi="宋体" w:eastAsia="宋体" w:cs="宋体"/>
        </w:rPr>
        <w:sectPr>
          <w:footerReference r:id="rId4" w:type="default"/>
          <w:pgSz w:w="11907" w:h="16839"/>
          <w:pgMar w:top="1431" w:right="1785" w:bottom="1070" w:left="1661" w:header="0" w:footer="875" w:gutter="0"/>
          <w:cols w:space="720" w:num="1"/>
        </w:sectPr>
      </w:pP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附注：</w:t>
      </w: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、推荐设计生产规模为：30万立方米/年</w:t>
      </w:r>
      <w:r>
        <w:rPr>
          <w:rFonts w:hint="eastAsia" w:ascii="仿宋" w:hAnsi="仿宋" w:eastAsia="仿宋" w:cs="仿宋"/>
          <w:bCs/>
          <w:sz w:val="32"/>
          <w:szCs w:val="32"/>
        </w:rPr>
        <w:t>。</w:t>
      </w: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、开采服务年限：4.87年。</w:t>
      </w:r>
    </w:p>
    <w:p>
      <w:pPr>
        <w:keepNext w:val="0"/>
        <w:keepLines w:val="0"/>
        <w:pageBreakBefore w:val="0"/>
        <w:tabs>
          <w:tab w:val="left" w:pos="420"/>
        </w:tabs>
        <w:kinsoku w:val="0"/>
        <w:wordWrap/>
        <w:overflowPunct/>
        <w:topLinePunct w:val="0"/>
        <w:bidi w:val="0"/>
        <w:adjustRightInd w:val="0"/>
        <w:snapToGrid w:val="0"/>
        <w:spacing w:line="560" w:lineRule="exact"/>
        <w:ind w:left="420" w:hanging="480" w:hangingChars="150"/>
        <w:textAlignment w:val="baseline"/>
        <w:rPr>
          <w:rFonts w:hint="eastAsia" w:ascii="仿宋" w:hAnsi="仿宋" w:eastAsia="仿宋" w:cs="仿宋"/>
          <w:sz w:val="32"/>
          <w:szCs w:val="32"/>
        </w:rPr>
      </w:pPr>
      <w:bookmarkStart w:id="1" w:name="_Hlk127616295"/>
      <w:r>
        <w:rPr>
          <w:rFonts w:hint="eastAsia" w:ascii="仿宋" w:hAnsi="仿宋" w:eastAsia="仿宋" w:cs="仿宋"/>
          <w:sz w:val="32"/>
          <w:szCs w:val="32"/>
          <w:lang w:val="en-US" w:eastAsia="zh-CN"/>
        </w:rPr>
        <w:t>3</w:t>
      </w:r>
      <w:r>
        <w:rPr>
          <w:rFonts w:hint="eastAsia" w:ascii="仿宋" w:hAnsi="仿宋" w:eastAsia="仿宋" w:cs="仿宋"/>
          <w:sz w:val="32"/>
          <w:szCs w:val="32"/>
        </w:rPr>
        <w:t>、开采方式：设计采用露天开采。</w:t>
      </w:r>
    </w:p>
    <w:bookmarkEnd w:id="1"/>
    <w:p>
      <w:pPr>
        <w:keepNext w:val="0"/>
        <w:keepLines w:val="0"/>
        <w:pageBreakBefore w:val="0"/>
        <w:tabs>
          <w:tab w:val="left" w:pos="420"/>
        </w:tabs>
        <w:kinsoku w:val="0"/>
        <w:wordWrap/>
        <w:overflowPunct/>
        <w:topLinePunct w:val="0"/>
        <w:bidi w:val="0"/>
        <w:adjustRightInd w:val="0"/>
        <w:snapToGrid w:val="0"/>
        <w:spacing w:line="560" w:lineRule="exact"/>
        <w:ind w:left="420" w:hanging="480" w:hangingChars="15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、开拓运输方案：设计采用公路开拓汽车运输方案。</w:t>
      </w: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、采矿方法：自上而下水平分层露天采矿方法。采矿回采率98％。</w:t>
      </w:r>
    </w:p>
    <w:p>
      <w:pPr>
        <w:keepNext w:val="0"/>
        <w:keepLines w:val="0"/>
        <w:pageBreakBefore w:val="0"/>
        <w:kinsoku w:val="0"/>
        <w:wordWrap/>
        <w:overflowPunct/>
        <w:topLinePunct w:val="0"/>
        <w:bidi w:val="0"/>
        <w:adjustRightInd w:val="0"/>
        <w:snapToGrid w:val="0"/>
        <w:spacing w:line="560" w:lineRule="exact"/>
        <w:ind w:left="280" w:hanging="320" w:hangingChars="100"/>
        <w:textAlignment w:val="baseline"/>
        <w:rPr>
          <w:rFonts w:hint="eastAsia" w:ascii="仿宋" w:hAnsi="仿宋" w:eastAsia="仿宋" w:cs="仿宋"/>
          <w:sz w:val="32"/>
          <w:szCs w:val="32"/>
        </w:rPr>
      </w:pPr>
    </w:p>
    <w:p>
      <w:pPr>
        <w:pStyle w:val="2"/>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kinsoku w:val="0"/>
        <w:wordWrap/>
        <w:overflowPunct/>
        <w:topLinePunct w:val="0"/>
        <w:bidi w:val="0"/>
        <w:adjustRightInd w:val="0"/>
        <w:snapToGrid w:val="0"/>
        <w:spacing w:line="560" w:lineRule="exact"/>
        <w:ind w:left="280" w:hanging="320" w:hangingChars="100"/>
        <w:textAlignment w:val="baseline"/>
        <w:rPr>
          <w:rFonts w:hint="eastAsia" w:ascii="仿宋" w:hAnsi="仿宋" w:eastAsia="仿宋" w:cs="仿宋"/>
          <w:sz w:val="32"/>
          <w:szCs w:val="32"/>
        </w:rPr>
      </w:pPr>
      <w:r>
        <w:rPr>
          <w:rFonts w:hint="eastAsia" w:ascii="仿宋" w:hAnsi="仿宋" w:eastAsia="仿宋" w:cs="仿宋"/>
          <w:sz w:val="32"/>
          <w:szCs w:val="32"/>
        </w:rPr>
        <w:t>附件：《新疆瑞晟城市投资发展有限公司沙湾市安集海镇砂石土集中开采区（II）-1号建筑用砂石矿矿产资源开发利用与生态保护修复方案》专家审查意见</w:t>
      </w:r>
    </w:p>
    <w:p>
      <w:pPr>
        <w:keepNext w:val="0"/>
        <w:keepLines w:val="0"/>
        <w:pageBreakBefore w:val="0"/>
        <w:kinsoku w:val="0"/>
        <w:wordWrap/>
        <w:overflowPunct/>
        <w:topLinePunct w:val="0"/>
        <w:bidi w:val="0"/>
        <w:adjustRightInd w:val="0"/>
        <w:snapToGrid w:val="0"/>
        <w:spacing w:line="560" w:lineRule="exact"/>
        <w:ind w:left="280" w:hanging="320" w:hangingChars="100"/>
        <w:textAlignment w:val="baseline"/>
        <w:rPr>
          <w:rFonts w:hint="eastAsia" w:ascii="仿宋" w:hAnsi="仿宋" w:eastAsia="仿宋" w:cs="仿宋"/>
          <w:sz w:val="32"/>
          <w:szCs w:val="32"/>
        </w:rPr>
      </w:pPr>
      <w:r>
        <w:rPr>
          <w:rFonts w:hint="eastAsia" w:ascii="仿宋" w:hAnsi="仿宋" w:eastAsia="仿宋" w:cs="仿宋"/>
          <w:sz w:val="32"/>
          <w:szCs w:val="32"/>
        </w:rPr>
        <w:t xml:space="preserve"> </w:t>
      </w:r>
    </w:p>
    <w:p>
      <w:pPr>
        <w:pStyle w:val="2"/>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p>
    <w:p>
      <w:pPr>
        <w:pStyle w:val="2"/>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主  送：沙湾市自然资源局、</w:t>
      </w:r>
      <w:r>
        <w:rPr>
          <w:rFonts w:hint="eastAsia" w:ascii="仿宋" w:hAnsi="仿宋" w:eastAsia="仿宋" w:cs="仿宋"/>
          <w:spacing w:val="1"/>
          <w:sz w:val="32"/>
          <w:szCs w:val="32"/>
        </w:rPr>
        <w:t>新疆瑞晟城市投资发展有限公司</w:t>
      </w: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抄  送：塔城地区自然资源局</w:t>
      </w: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印  数：12份</w:t>
      </w:r>
    </w:p>
    <w:p>
      <w:pPr>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color w:val="FF0000"/>
          <w:sz w:val="32"/>
          <w:szCs w:val="32"/>
          <w:highlight w:val="yellow"/>
        </w:rPr>
        <w:sectPr>
          <w:pgSz w:w="12240" w:h="15840"/>
          <w:pgMar w:top="1440" w:right="1800" w:bottom="1440" w:left="1800" w:header="720" w:footer="720" w:gutter="0"/>
          <w:cols w:space="720" w:num="1"/>
        </w:sectPr>
      </w:pPr>
    </w:p>
    <w:p>
      <w:pPr>
        <w:keepNext w:val="0"/>
        <w:keepLines w:val="0"/>
        <w:pageBreakBefore w:val="0"/>
        <w:kinsoku w:val="0"/>
        <w:wordWrap/>
        <w:overflowPunct/>
        <w:topLinePunct w:val="0"/>
        <w:bidi w:val="0"/>
        <w:adjustRightInd w:val="0"/>
        <w:snapToGrid w:val="0"/>
        <w:spacing w:line="560" w:lineRule="exact"/>
        <w:jc w:val="center"/>
        <w:textAlignment w:val="baseline"/>
        <w:rPr>
          <w:rFonts w:hint="eastAsia" w:ascii="仿宋" w:hAnsi="仿宋" w:eastAsia="仿宋" w:cs="仿宋"/>
          <w:sz w:val="32"/>
          <w:szCs w:val="32"/>
        </w:rPr>
      </w:pPr>
      <w:r>
        <w:rPr>
          <w:rFonts w:hint="eastAsia" w:ascii="仿宋" w:hAnsi="仿宋" w:eastAsia="仿宋" w:cs="仿宋"/>
          <w:b/>
          <w:sz w:val="32"/>
          <w:szCs w:val="32"/>
        </w:rPr>
        <w:t>《新疆瑞晟城市投资发展有限公司沙湾市安集海镇砂石土集中开采区（II）-1号建筑用砂石矿矿产资源开发利用与生态保护修复方案》专家审查意见</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outlineLvl w:val="0"/>
        <w:rPr>
          <w:rFonts w:hint="eastAsia" w:ascii="仿宋" w:hAnsi="仿宋" w:eastAsia="仿宋" w:cs="仿宋"/>
          <w:spacing w:val="1"/>
          <w:sz w:val="32"/>
          <w:szCs w:val="32"/>
        </w:rPr>
      </w:pPr>
      <w:r>
        <w:rPr>
          <w:rFonts w:hint="eastAsia" w:ascii="仿宋" w:hAnsi="仿宋" w:eastAsia="仿宋" w:cs="仿宋"/>
          <w:color w:val="auto"/>
          <w:spacing w:val="1"/>
          <w:sz w:val="32"/>
          <w:szCs w:val="32"/>
        </w:rPr>
        <w:t>受</w:t>
      </w:r>
      <w:r>
        <w:rPr>
          <w:rFonts w:hint="eastAsia" w:ascii="仿宋" w:hAnsi="仿宋" w:eastAsia="仿宋" w:cs="仿宋"/>
          <w:spacing w:val="1"/>
          <w:sz w:val="32"/>
          <w:szCs w:val="32"/>
        </w:rPr>
        <w:t>新疆瑞晟城市投资发展有限公司委托，由</w:t>
      </w:r>
      <w:r>
        <w:rPr>
          <w:rFonts w:hint="eastAsia" w:ascii="仿宋" w:hAnsi="仿宋" w:eastAsia="仿宋" w:cs="仿宋"/>
          <w:color w:val="auto"/>
          <w:spacing w:val="1"/>
          <w:sz w:val="32"/>
          <w:szCs w:val="32"/>
        </w:rPr>
        <w:t>乌鲁木齐市润天通达矿业技术咨询服务有限公司编制的《新疆瑞晟城市投资发展有限公司沙湾市安集海镇砂石土集中开采区（II）-1号建筑用砂石矿矿产资源开发利用与生态保护修复方案》（以下简称</w:t>
      </w:r>
      <w:bookmarkStart w:id="2" w:name="_Hlk91835451"/>
      <w:r>
        <w:rPr>
          <w:rFonts w:hint="eastAsia" w:ascii="仿宋" w:hAnsi="仿宋" w:eastAsia="仿宋" w:cs="仿宋"/>
          <w:color w:val="auto"/>
          <w:spacing w:val="1"/>
          <w:sz w:val="32"/>
          <w:szCs w:val="32"/>
        </w:rPr>
        <w:t>《方案》</w:t>
      </w:r>
      <w:bookmarkEnd w:id="2"/>
      <w:r>
        <w:rPr>
          <w:rFonts w:hint="eastAsia" w:ascii="仿宋" w:hAnsi="仿宋" w:eastAsia="仿宋" w:cs="仿宋"/>
          <w:color w:val="auto"/>
          <w:spacing w:val="1"/>
          <w:sz w:val="32"/>
          <w:szCs w:val="32"/>
        </w:rPr>
        <w:t>）于2024年4月提交评审专家组审核，评审专家组采取函审方式对该《方案》进行了审查，并提出审查意见。编制单位根据专家意见</w:t>
      </w:r>
      <w:r>
        <w:rPr>
          <w:rFonts w:hint="eastAsia" w:ascii="仿宋" w:hAnsi="仿宋" w:eastAsia="仿宋" w:cs="仿宋"/>
          <w:spacing w:val="1"/>
          <w:sz w:val="32"/>
          <w:szCs w:val="32"/>
        </w:rPr>
        <w:t>对《方案》进行修改完善。经主审专家复核，《方案》符合规范要求。现形成评审意见如下：</w:t>
      </w:r>
    </w:p>
    <w:p>
      <w:pPr>
        <w:keepNext w:val="0"/>
        <w:keepLines w:val="0"/>
        <w:pageBreakBefore w:val="0"/>
        <w:kinsoku w:val="0"/>
        <w:wordWrap/>
        <w:overflowPunct/>
        <w:topLinePunct w:val="0"/>
        <w:bidi w:val="0"/>
        <w:adjustRightInd w:val="0"/>
        <w:snapToGrid w:val="0"/>
        <w:spacing w:line="560" w:lineRule="exact"/>
        <w:ind w:firstLine="616" w:firstLineChars="200"/>
        <w:jc w:val="both"/>
        <w:textAlignment w:val="baseline"/>
        <w:outlineLvl w:val="0"/>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6"/>
          <w:sz w:val="32"/>
          <w:szCs w:val="32"/>
        </w:rPr>
        <w:t>一、采矿权基本情况及编制目的</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新疆瑞晟城市投资发展有限公司通过“挂牌出让”的方式取得了新疆瑞晟城市投资发展有限公司沙湾市安集海镇砂石土集中开采区（II）-1号建筑用砂石矿采矿权。依据《采矿权出让合同》，矿区范围由4个拐点圈定，拟设采矿权面积0.0774平方千米。</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color w:val="auto"/>
          <w:sz w:val="32"/>
          <w:szCs w:val="32"/>
        </w:rPr>
        <w:t>本次编制</w:t>
      </w:r>
      <w:bookmarkStart w:id="3" w:name="_Hlk91836438"/>
      <w:r>
        <w:rPr>
          <w:rFonts w:hint="eastAsia" w:ascii="仿宋" w:hAnsi="仿宋" w:eastAsia="仿宋" w:cs="仿宋"/>
          <w:color w:val="auto"/>
          <w:sz w:val="32"/>
          <w:szCs w:val="32"/>
        </w:rPr>
        <w:t>《方案》</w:t>
      </w:r>
      <w:bookmarkEnd w:id="3"/>
      <w:r>
        <w:rPr>
          <w:rFonts w:hint="eastAsia" w:ascii="仿宋" w:hAnsi="仿宋" w:eastAsia="仿宋" w:cs="仿宋"/>
          <w:color w:val="auto"/>
          <w:sz w:val="32"/>
          <w:szCs w:val="32"/>
        </w:rPr>
        <w:t>目的：</w:t>
      </w:r>
      <w:r>
        <w:rPr>
          <w:rFonts w:hint="eastAsia" w:ascii="仿宋" w:hAnsi="仿宋" w:eastAsia="仿宋" w:cs="仿宋"/>
          <w:sz w:val="32"/>
          <w:szCs w:val="32"/>
        </w:rPr>
        <w:t>为新立采矿许可证开采范围、矿山生产规模提供技术依据；为本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pPr>
        <w:keepNext w:val="0"/>
        <w:keepLines w:val="0"/>
        <w:pageBreakBefore w:val="0"/>
        <w:kinsoku w:val="0"/>
        <w:wordWrap/>
        <w:overflowPunct/>
        <w:topLinePunct w:val="0"/>
        <w:bidi w:val="0"/>
        <w:adjustRightInd w:val="0"/>
        <w:snapToGrid w:val="0"/>
        <w:spacing w:line="560" w:lineRule="exact"/>
        <w:ind w:firstLine="600" w:firstLineChars="200"/>
        <w:jc w:val="both"/>
        <w:textAlignment w:val="baseline"/>
        <w:outlineLvl w:val="0"/>
        <w:rPr>
          <w:rFonts w:hint="eastAsia" w:ascii="黑体" w:hAnsi="黑体" w:eastAsia="黑体" w:cs="黑体"/>
          <w:b w:val="0"/>
          <w:bCs w:val="0"/>
          <w:color w:val="auto"/>
          <w:spacing w:val="-2"/>
          <w:sz w:val="32"/>
          <w:szCs w:val="32"/>
        </w:rPr>
      </w:pPr>
      <w:r>
        <w:rPr>
          <w:rFonts w:hint="eastAsia" w:ascii="黑体" w:hAnsi="黑体" w:eastAsia="黑体" w:cs="黑体"/>
          <w:b w:val="0"/>
          <w:bCs w:val="0"/>
          <w:color w:val="auto"/>
          <w:spacing w:val="-10"/>
          <w:sz w:val="32"/>
          <w:szCs w:val="32"/>
        </w:rPr>
        <w:t>二、设计利用资</w:t>
      </w:r>
      <w:r>
        <w:rPr>
          <w:rFonts w:hint="eastAsia" w:ascii="黑体" w:hAnsi="黑体" w:eastAsia="黑体" w:cs="黑体"/>
          <w:b w:val="0"/>
          <w:bCs w:val="0"/>
          <w:color w:val="auto"/>
          <w:spacing w:val="-2"/>
          <w:sz w:val="32"/>
          <w:szCs w:val="32"/>
        </w:rPr>
        <w:t>源储量政策符合性</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bookmarkStart w:id="4" w:name="_Hlk91836993"/>
      <w:r>
        <w:rPr>
          <w:rFonts w:hint="eastAsia" w:ascii="仿宋" w:hAnsi="仿宋" w:eastAsia="仿宋" w:cs="仿宋"/>
          <w:color w:val="auto"/>
          <w:sz w:val="32"/>
          <w:szCs w:val="32"/>
        </w:rPr>
        <w:t>《方案》</w:t>
      </w:r>
      <w:bookmarkEnd w:id="4"/>
      <w:r>
        <w:rPr>
          <w:rFonts w:hint="eastAsia" w:ascii="仿宋" w:hAnsi="仿宋" w:eastAsia="仿宋" w:cs="仿宋"/>
          <w:color w:val="auto"/>
          <w:sz w:val="32"/>
          <w:szCs w:val="32"/>
        </w:rPr>
        <w:t>依据的</w:t>
      </w:r>
      <w:r>
        <w:rPr>
          <w:rFonts w:hint="eastAsia" w:ascii="仿宋" w:hAnsi="仿宋" w:eastAsia="仿宋" w:cs="仿宋"/>
          <w:color w:val="auto"/>
          <w:spacing w:val="-10"/>
          <w:sz w:val="32"/>
          <w:szCs w:val="32"/>
        </w:rPr>
        <w:t>资源量已通过评审《新疆沙湾市安集海镇砂石土集中开采区（II）-1号建筑用砂石矿地质普查报告评审意见书》（沙自然资函〔2024〕67号），设计利用资源量类型确定合理，设计利用资</w:t>
      </w:r>
      <w:r>
        <w:rPr>
          <w:rFonts w:hint="eastAsia" w:ascii="仿宋" w:hAnsi="仿宋" w:eastAsia="仿宋" w:cs="仿宋"/>
          <w:color w:val="auto"/>
          <w:spacing w:val="-2"/>
          <w:sz w:val="32"/>
          <w:szCs w:val="32"/>
        </w:rPr>
        <w:t>源量、可采资源量的确定符合自治区自然资源厅相关政策要求。</w:t>
      </w:r>
    </w:p>
    <w:p>
      <w:pPr>
        <w:keepNext w:val="0"/>
        <w:keepLines w:val="0"/>
        <w:pageBreakBefore w:val="0"/>
        <w:kinsoku w:val="0"/>
        <w:wordWrap/>
        <w:overflowPunct/>
        <w:topLinePunct w:val="0"/>
        <w:bidi w:val="0"/>
        <w:adjustRightInd w:val="0"/>
        <w:snapToGrid w:val="0"/>
        <w:spacing w:line="560" w:lineRule="exact"/>
        <w:ind w:firstLine="624" w:firstLineChars="200"/>
        <w:jc w:val="both"/>
        <w:textAlignment w:val="baseline"/>
        <w:outlineLvl w:val="0"/>
        <w:rPr>
          <w:rFonts w:hint="eastAsia" w:ascii="黑体" w:hAnsi="黑体" w:eastAsia="黑体" w:cs="黑体"/>
          <w:b w:val="0"/>
          <w:bCs w:val="0"/>
          <w:color w:val="auto"/>
          <w:spacing w:val="-4"/>
          <w:sz w:val="32"/>
          <w:szCs w:val="32"/>
        </w:rPr>
      </w:pPr>
      <w:r>
        <w:rPr>
          <w:rFonts w:hint="eastAsia" w:ascii="黑体" w:hAnsi="黑体" w:eastAsia="黑体" w:cs="黑体"/>
          <w:b w:val="0"/>
          <w:bCs w:val="0"/>
          <w:color w:val="auto"/>
          <w:spacing w:val="-4"/>
          <w:sz w:val="32"/>
          <w:szCs w:val="32"/>
        </w:rPr>
        <w:t>三、设计利用储量、设计开采规模及服务年限</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pacing w:val="-4"/>
          <w:sz w:val="32"/>
          <w:szCs w:val="32"/>
        </w:rPr>
      </w:pPr>
      <w:r>
        <w:rPr>
          <w:rFonts w:hint="eastAsia" w:ascii="仿宋" w:hAnsi="仿宋" w:eastAsia="仿宋" w:cs="仿宋"/>
          <w:color w:val="auto"/>
          <w:sz w:val="32"/>
          <w:szCs w:val="32"/>
        </w:rPr>
        <w:t>《方案</w:t>
      </w:r>
      <w:r>
        <w:rPr>
          <w:rFonts w:hint="eastAsia" w:ascii="仿宋" w:hAnsi="仿宋" w:eastAsia="仿宋" w:cs="仿宋"/>
          <w:color w:val="auto"/>
          <w:spacing w:val="-4"/>
          <w:sz w:val="32"/>
          <w:szCs w:val="32"/>
        </w:rPr>
        <w:t>》依据《新疆沙湾市安集海镇砂石土集中开采区（II）-1号建筑用砂石矿地质普查报告评审意见书</w:t>
      </w:r>
      <w:r>
        <w:rPr>
          <w:rFonts w:hint="eastAsia" w:ascii="仿宋" w:hAnsi="仿宋" w:eastAsia="仿宋" w:cs="仿宋"/>
          <w:spacing w:val="-4"/>
          <w:sz w:val="32"/>
          <w:szCs w:val="32"/>
        </w:rPr>
        <w:t>》（沙自然资函〔2024〕67号），矿山评审通过的保有资源量合计159.02万立方米，设计利用率88.12％。设计利用资源量为149.05万立方米，总剥离量2.36万立方米，剥采比为0.02（立方米/立方米）。本次方案设计采矿回采率98％。</w:t>
      </w:r>
    </w:p>
    <w:p>
      <w:pPr>
        <w:keepNext w:val="0"/>
        <w:keepLines w:val="0"/>
        <w:pageBreakBefore w:val="0"/>
        <w:kinsoku w:val="0"/>
        <w:wordWrap/>
        <w:overflowPunct/>
        <w:topLinePunct w:val="0"/>
        <w:bidi w:val="0"/>
        <w:adjustRightInd w:val="0"/>
        <w:snapToGrid w:val="0"/>
        <w:spacing w:line="560" w:lineRule="exact"/>
        <w:ind w:firstLine="624" w:firstLineChars="200"/>
        <w:jc w:val="both"/>
        <w:textAlignment w:val="baseline"/>
        <w:rPr>
          <w:rFonts w:hint="eastAsia" w:ascii="仿宋" w:hAnsi="仿宋" w:eastAsia="仿宋" w:cs="仿宋"/>
          <w:color w:val="auto"/>
          <w:spacing w:val="-4"/>
          <w:sz w:val="32"/>
          <w:szCs w:val="32"/>
        </w:rPr>
      </w:pPr>
      <w:r>
        <w:rPr>
          <w:rFonts w:hint="eastAsia" w:ascii="仿宋" w:hAnsi="仿宋" w:eastAsia="仿宋" w:cs="仿宋"/>
          <w:spacing w:val="-4"/>
          <w:sz w:val="32"/>
          <w:szCs w:val="32"/>
        </w:rPr>
        <w:t>本次设计矿山生产规模为30万立方米/年（1429立方米/天），其设计服务年限为4.87年。</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四、采矿方案</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color w:val="auto"/>
          <w:spacing w:val="1"/>
          <w:sz w:val="32"/>
          <w:szCs w:val="32"/>
        </w:rPr>
        <w:t>矿山采用自上而下水平分层露天采矿方法，</w:t>
      </w:r>
      <w:r>
        <w:rPr>
          <w:rFonts w:hint="eastAsia" w:ascii="仿宋" w:hAnsi="仿宋" w:eastAsia="仿宋" w:cs="仿宋"/>
          <w:color w:val="auto"/>
          <w:spacing w:val="-4"/>
          <w:sz w:val="32"/>
          <w:szCs w:val="32"/>
        </w:rPr>
        <w:t>设计采矿回采率98％</w:t>
      </w:r>
      <w:r>
        <w:rPr>
          <w:rFonts w:hint="eastAsia" w:ascii="仿宋" w:hAnsi="仿宋" w:eastAsia="仿宋" w:cs="仿宋"/>
          <w:spacing w:val="1"/>
          <w:sz w:val="32"/>
          <w:szCs w:val="32"/>
        </w:rPr>
        <w:t>。</w:t>
      </w:r>
    </w:p>
    <w:p>
      <w:pPr>
        <w:keepNext w:val="0"/>
        <w:keepLines w:val="0"/>
        <w:pageBreakBefore w:val="0"/>
        <w:kinsoku w:val="0"/>
        <w:wordWrap/>
        <w:overflowPunct/>
        <w:topLinePunct w:val="0"/>
        <w:bidi w:val="0"/>
        <w:adjustRightInd w:val="0"/>
        <w:snapToGrid w:val="0"/>
        <w:spacing w:line="560" w:lineRule="exact"/>
        <w:ind w:firstLine="636" w:firstLineChars="200"/>
        <w:jc w:val="both"/>
        <w:textAlignment w:val="baseline"/>
        <w:outlineLvl w:val="0"/>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pacing w:val="-1"/>
          <w:sz w:val="32"/>
          <w:szCs w:val="32"/>
        </w:rPr>
        <w:t>五、产品方案</w:t>
      </w:r>
    </w:p>
    <w:p>
      <w:pPr>
        <w:keepNext w:val="0"/>
        <w:keepLines w:val="0"/>
        <w:pageBreakBefore w:val="0"/>
        <w:kinsoku w:val="0"/>
        <w:wordWrap/>
        <w:overflowPunct/>
        <w:topLinePunct w:val="0"/>
        <w:bidi w:val="0"/>
        <w:adjustRightInd w:val="0"/>
        <w:snapToGrid w:val="0"/>
        <w:spacing w:line="560" w:lineRule="exact"/>
        <w:ind w:firstLine="624" w:firstLineChars="200"/>
        <w:jc w:val="both"/>
        <w:textAlignment w:val="baseline"/>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矿山产品方案为：粒径0.075～0.5mm的粉砂、0.5～5mm的细砂、5～10mm的细石子、10～20mm的小石子、20～40mm的中石子。</w:t>
      </w:r>
    </w:p>
    <w:p>
      <w:pPr>
        <w:keepNext w:val="0"/>
        <w:keepLines w:val="0"/>
        <w:pageBreakBefore w:val="0"/>
        <w:kinsoku w:val="0"/>
        <w:wordWrap/>
        <w:overflowPunct/>
        <w:topLinePunct w:val="0"/>
        <w:bidi w:val="0"/>
        <w:adjustRightInd w:val="0"/>
        <w:snapToGrid w:val="0"/>
        <w:spacing w:line="560" w:lineRule="exact"/>
        <w:ind w:firstLine="628" w:firstLineChars="200"/>
        <w:jc w:val="both"/>
        <w:textAlignment w:val="baseline"/>
        <w:outlineLvl w:val="0"/>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pacing w:val="-3"/>
          <w:sz w:val="32"/>
          <w:szCs w:val="32"/>
        </w:rPr>
        <w:t>六、</w:t>
      </w:r>
      <w:r>
        <w:rPr>
          <w:rFonts w:hint="eastAsia" w:ascii="黑体" w:hAnsi="黑体" w:eastAsia="黑体" w:cs="黑体"/>
          <w:b w:val="0"/>
          <w:bCs w:val="0"/>
          <w:color w:val="auto"/>
          <w:spacing w:val="-4"/>
          <w:sz w:val="32"/>
          <w:szCs w:val="32"/>
        </w:rPr>
        <w:t>绿色矿山建设</w:t>
      </w:r>
    </w:p>
    <w:p>
      <w:pPr>
        <w:keepNext w:val="0"/>
        <w:keepLines w:val="0"/>
        <w:pageBreakBefore w:val="0"/>
        <w:kinsoku w:val="0"/>
        <w:wordWrap/>
        <w:overflowPunct/>
        <w:topLinePunct w:val="0"/>
        <w:bidi w:val="0"/>
        <w:adjustRightInd w:val="0"/>
        <w:snapToGrid w:val="0"/>
        <w:spacing w:line="560" w:lineRule="exact"/>
        <w:ind w:firstLine="624" w:firstLineChars="200"/>
        <w:jc w:val="both"/>
        <w:textAlignment w:val="baseline"/>
        <w:rPr>
          <w:rFonts w:hint="eastAsia" w:ascii="仿宋" w:hAnsi="仿宋" w:eastAsia="仿宋" w:cs="仿宋"/>
          <w:color w:val="auto"/>
          <w:spacing w:val="-2"/>
          <w:sz w:val="32"/>
          <w:szCs w:val="32"/>
        </w:rPr>
      </w:pPr>
      <w:r>
        <w:rPr>
          <w:rFonts w:hint="eastAsia" w:ascii="仿宋" w:hAnsi="仿宋" w:eastAsia="仿宋" w:cs="仿宋"/>
          <w:color w:val="auto"/>
          <w:spacing w:val="-4"/>
          <w:sz w:val="32"/>
          <w:szCs w:val="32"/>
        </w:rPr>
        <w:t>设计采取的开采工艺以及选矿工艺符合本行业绿色矿山建设规范和节约与综合</w:t>
      </w:r>
      <w:r>
        <w:rPr>
          <w:rFonts w:hint="eastAsia" w:ascii="仿宋" w:hAnsi="仿宋" w:eastAsia="仿宋" w:cs="仿宋"/>
          <w:color w:val="auto"/>
          <w:spacing w:val="-2"/>
          <w:sz w:val="32"/>
          <w:szCs w:val="32"/>
        </w:rPr>
        <w:t>利用要求。设计</w:t>
      </w:r>
      <w:r>
        <w:rPr>
          <w:rFonts w:hint="eastAsia" w:ascii="仿宋" w:hAnsi="仿宋" w:eastAsia="仿宋" w:cs="仿宋"/>
          <w:color w:val="auto"/>
          <w:spacing w:val="1"/>
          <w:sz w:val="32"/>
          <w:szCs w:val="32"/>
        </w:rPr>
        <w:t>采矿回采率、选矿回收率、综合利用率指标为：</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1.开采回采率</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生产工艺技术和设备应符合国土资源部《矿产资源节约与综合利用鼓励、限制和淘汰技术目录》要求。砂石矿山资源综合利用率不低于95%。结合本矿设计回采率98％，可得符合要求。</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2.选矿回收率</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该矿产品为建筑用砂，各粒级建筑用砂选矿产率合计为88.12%。</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3.尾矿综合利用率</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该矿筛分洗砂产生的尾矿为泥渣和废石，设计作为废料用于回填露天采坑。</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4.伴生资源利用</w:t>
      </w:r>
    </w:p>
    <w:p>
      <w:pPr>
        <w:keepNext w:val="0"/>
        <w:keepLines w:val="0"/>
        <w:pageBreakBefore w:val="0"/>
        <w:kinsoku w:val="0"/>
        <w:wordWrap/>
        <w:overflowPunct/>
        <w:topLinePunct w:val="0"/>
        <w:bidi w:val="0"/>
        <w:adjustRightInd w:val="0"/>
        <w:snapToGrid w:val="0"/>
        <w:spacing w:line="56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该矿山为建筑用砂矿，无其它有有益共伴生矿产资源。</w:t>
      </w:r>
    </w:p>
    <w:p>
      <w:pPr>
        <w:keepNext w:val="0"/>
        <w:keepLines w:val="0"/>
        <w:pageBreakBefore w:val="0"/>
        <w:kinsoku w:val="0"/>
        <w:wordWrap/>
        <w:overflowPunct/>
        <w:topLinePunct w:val="0"/>
        <w:bidi w:val="0"/>
        <w:adjustRightInd w:val="0"/>
        <w:snapToGrid w:val="0"/>
        <w:spacing w:line="560" w:lineRule="exact"/>
        <w:ind w:firstLine="624" w:firstLineChars="200"/>
        <w:jc w:val="both"/>
        <w:textAlignment w:val="baseline"/>
        <w:outlineLvl w:val="0"/>
        <w:rPr>
          <w:rFonts w:hint="eastAsia" w:ascii="黑体" w:hAnsi="黑体" w:eastAsia="黑体" w:cs="黑体"/>
          <w:b w:val="0"/>
          <w:bCs w:val="0"/>
          <w:color w:val="auto"/>
          <w:spacing w:val="-2"/>
          <w:sz w:val="32"/>
          <w:szCs w:val="32"/>
        </w:rPr>
      </w:pPr>
      <w:r>
        <w:rPr>
          <w:rFonts w:hint="eastAsia" w:ascii="黑体" w:hAnsi="黑体" w:eastAsia="黑体" w:cs="黑体"/>
          <w:b w:val="0"/>
          <w:bCs w:val="0"/>
          <w:color w:val="auto"/>
          <w:spacing w:val="-4"/>
          <w:sz w:val="32"/>
          <w:szCs w:val="32"/>
        </w:rPr>
        <w:t>七、矿区地质环境</w:t>
      </w:r>
      <w:bookmarkStart w:id="5" w:name="_Hlk91925963"/>
      <w:r>
        <w:rPr>
          <w:rFonts w:hint="eastAsia" w:ascii="黑体" w:hAnsi="黑体" w:eastAsia="黑体" w:cs="黑体"/>
          <w:b w:val="0"/>
          <w:bCs w:val="0"/>
          <w:color w:val="auto"/>
          <w:spacing w:val="-4"/>
          <w:sz w:val="32"/>
          <w:szCs w:val="32"/>
        </w:rPr>
        <w:t>治</w:t>
      </w:r>
      <w:r>
        <w:rPr>
          <w:rFonts w:hint="eastAsia" w:ascii="黑体" w:hAnsi="黑体" w:eastAsia="黑体" w:cs="黑体"/>
          <w:b w:val="0"/>
          <w:bCs w:val="0"/>
          <w:color w:val="auto"/>
          <w:spacing w:val="-11"/>
          <w:sz w:val="32"/>
          <w:szCs w:val="32"/>
        </w:rPr>
        <w:t>理恢复</w:t>
      </w:r>
      <w:bookmarkEnd w:id="5"/>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（一）本次工作查明了矿山环境现状，分析了矿山环境发展趋势，其论述内容基本全面，结论基本正确。</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（二）确定评估级别为一级，评估区面积0.1014平方千米，评估等级划分正确，评估范围确定合理。</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（三）矿山地质环境影响现状评估划分为较严重区和较轻区，其中：</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严重区：现状矿山西部有一个老采坑，面积0.83公顷。经评估，现状条件下评估区内不易引发崩塌、滑坡、泥石流、地面塌陷、地面沉降、地裂缝、不稳定斜坡等地质灾害。矿业活动对含水层的破坏程度较轻，对大气污染的程度较轻，现有采坑对地形地貌景观的破坏程度较严重。</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较轻区：面积9.31公顷，为除老采坑区域以外的区域，现状条件下评估区内地质灾害不发育，矿业活动对含水层、地形地貌景观、水土环境污染及大气环境污染影响程度较轻。</w:t>
      </w: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sz w:val="32"/>
          <w:szCs w:val="32"/>
        </w:rPr>
      </w:pPr>
      <w:r>
        <w:rPr>
          <w:rFonts w:hint="eastAsia" w:ascii="仿宋" w:hAnsi="仿宋" w:eastAsia="仿宋" w:cs="仿宋"/>
          <w:color w:val="auto"/>
          <w:sz w:val="32"/>
          <w:szCs w:val="32"/>
        </w:rPr>
        <w:t>（四）对采矿活动对矿山地质环境的影响进行了预测评估，</w:t>
      </w:r>
      <w:r>
        <w:rPr>
          <w:rFonts w:hint="eastAsia" w:ascii="仿宋" w:hAnsi="仿宋" w:eastAsia="仿宋" w:cs="仿宋"/>
          <w:sz w:val="32"/>
          <w:szCs w:val="32"/>
        </w:rPr>
        <w:t>预测评估矿山地质环境影响程度分为严重区、较严重区和较轻区。</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严重区：面积7.88公顷，为规划露天采坑（包括老采坑、工业广场、成品堆放场、表土堆放场、废石堆放场）。</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较严重区：面积0.45公顷，包括规划矿山道路和规划矿部生活区；</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较轻区：面积1.81公顷，为上述区域以外的评估区其他区域。</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（五）确定了矿山环境保护与治理恢复的原则、目标和任务，对矿区进行了矿山环境保护与治理恢复分区，并提出了具体的保护、治理以及监测方案，并进行了经费概算。</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1、矿山环境保护与综合治理分区</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地质环境保护与恢复治理分区划分为矿山地质环境重点防治区（Ⅰ）、次重点防治区（Ⅱ）、一般防治区（Ⅲ），分区总面积10.59公顷，其中：规划露天采坑（包括老采坑、工业广场、成品堆放场、表土堆放场、废石堆放场）为重点防治区，面积7.88公顷；规划矿山道路和规划矿部生活区为次重点防治区，面积0.45公顷；一般防治区为评估区其他区域，面积1.81公顷。</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2、地质环境治理工程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（1）矿山地质灾害防治及监测：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2024年10月底前在规划露天采坑区外围5米设置铁丝围栏1250米及警示牌14块；对警示牌和围栏进行监测。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（2）含水层破坏的预防、修复及监测：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矿区含水层单一，地下水埋藏大于50米，富水性弱。采矿活动不会抽排地下水，无含水层破坏，普查期间地质浅井均未揭露含水层，矿区及周边无地下泉水出露，本方案不进行含水层破坏的监测。</w:t>
      </w:r>
    </w:p>
    <w:p>
      <w:pPr>
        <w:keepNext w:val="0"/>
        <w:keepLines w:val="0"/>
        <w:pageBreakBefore w:val="0"/>
        <w:numPr>
          <w:ilvl w:val="0"/>
          <w:numId w:val="1"/>
        </w:numPr>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地形地貌景观破坏的预防、修复及监测：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优化工程施工方案，尤其是工业场地，尽量避免和减少破坏地形地貌景观；合理堆放固体物质，严格控制废石场范围，新掘出矿石及时消化，选用合适的综合利用技术，加大综合利用量，减少对地形地貌景观的破坏；采矿期间保护矿区内的卫生环境，减少对地形地貌景观的破坏；优化设计、一步到位，尽量利用现有道路，走向应尽量和当地的自然景观相协调；每年对地形地貌景观损毁情况进行监测。</w:t>
      </w:r>
    </w:p>
    <w:p>
      <w:pPr>
        <w:keepNext w:val="0"/>
        <w:keepLines w:val="0"/>
        <w:pageBreakBefore w:val="0"/>
        <w:numPr>
          <w:ilvl w:val="0"/>
          <w:numId w:val="1"/>
        </w:numPr>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bookmarkStart w:id="6" w:name="_Toc76981923"/>
      <w:bookmarkStart w:id="7" w:name="_Toc4933"/>
      <w:bookmarkStart w:id="8" w:name="_Toc76982487"/>
      <w:bookmarkStart w:id="9" w:name="_Toc76982307"/>
      <w:r>
        <w:rPr>
          <w:rFonts w:hint="eastAsia" w:ascii="仿宋" w:hAnsi="仿宋" w:eastAsia="仿宋" w:cs="仿宋"/>
          <w:color w:val="auto"/>
          <w:sz w:val="32"/>
          <w:szCs w:val="32"/>
        </w:rPr>
        <w:t>水土环境污染</w:t>
      </w:r>
      <w:bookmarkEnd w:id="6"/>
      <w:bookmarkEnd w:id="7"/>
      <w:bookmarkEnd w:id="8"/>
      <w:bookmarkEnd w:id="9"/>
      <w:r>
        <w:rPr>
          <w:rFonts w:hint="eastAsia" w:ascii="仿宋" w:hAnsi="仿宋" w:eastAsia="仿宋" w:cs="仿宋"/>
          <w:color w:val="auto"/>
          <w:sz w:val="32"/>
          <w:szCs w:val="32"/>
        </w:rPr>
        <w:t>的预防、修复及监测：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在矿山开采过程中，做到废石不乱堆放，合理有序堆放在废石堆放场；生活污水经处理达标后用于矿区道路降尘；生活垃圾定期拉运至沙湾市垃圾处理站处理；每年采集土壤样进行监测。</w:t>
      </w:r>
    </w:p>
    <w:p>
      <w:pPr>
        <w:keepNext w:val="0"/>
        <w:keepLines w:val="0"/>
        <w:pageBreakBefore w:val="0"/>
        <w:numPr>
          <w:ilvl w:val="0"/>
          <w:numId w:val="1"/>
        </w:numPr>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大气环境的预防、修复及监测：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矿山开采对大气污染程度较轻，开采期间严格按设计进行开采，定期对废料堆放场和矿山道路进行洒水降尘措施，减轻对大气的污染，每年对生活区、工业广场、露天采矿场、矿山道路进行大气监测。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八、矿区土地复垦</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1、矿区土地利用现状</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区范围面积0.0774平方千米，矿区范围内的土地利用现状类型为草地（天然牧草地）。本次规划矿山布局除矿山道路和生活区外全部位于矿区范围内，所占用的土地类型为草地（天然牧草地），土地权属为国有土地。矿山建设不涉及基本农田和林地，土地权属为国有。</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2、土地复垦区与复垦责任范围</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本方案土地复垦区面积为8.33公顷，包括规划露天采坑、规划矿山道路、规划工业广场、规划矿部生活区、规划废料堆放场、规划表土堆放场。最终确定本方案复垦责任范围为8.33公顷，土地复垦率100%。</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3、矿区土地适宜性评价</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方案复垦适宜性评价范围为复垦责任区，合计面积8.33公顷，包括规划露天采坑、规划矿山道路、规划工业广场、规划矿部生活区、规划废料堆放场、规划表土堆放场，确定损毁土地的复垦方向以恢复原功能为主，即复垦为草地（天然牧草地）。</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4、矿区水土资源平衡分析</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（1）表土资源平衡分析</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地表有一层厚度约0.3米的覆盖层，主要为砂土少量砾石，土壤肥力低，矿山开采前对露天采场区域进行表土剥离工作，除矿部生活区和矿山道路以外其他矿建设施在露天采场内建设，压占物为砖混、彩钢、砂土及废石，对拟损毁露天采场、矿部生活区和矿山道路进行表土剥离，最终损毁面积8.33公顷，剥离表土厚度0.3米，剥离量约2.50万立方米。</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剥离的表土堆放于规划表土堆放场，表土堆放高度5米，分层堆放，堆积坡度不大于30º，表土堆放场容积约0.5万立方米，定期对表土场洒水降尘，表土全部用于复垦期露天采坑地表覆土。</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由需土量分析和供土量分析可知，复垦区内需土量2.50万立方米，供土量2.50万立方米，可满足项目区复垦要求。</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（2）废石资源平衡分析</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矿山服务年限4.87年</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产出17.71万立方米废石（实方），废石直接进行内排处理，对露天采坑进行筑坡和回填。</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闭坑后各地面设施拆除，规划工业广场、规划矿部生活区共计建筑面积2600平方米，拆除地表建筑，按每平方米拆除地表建筑0.5立方米计算，设施拆除方量约0.13万立方米，闭坑后全部拆除拉运至沙湾市建筑垃圾处理厂集中处理。</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矿山基建工程及矿山服务年限4.87年</w:t>
      </w:r>
      <w:r>
        <w:rPr>
          <w:rFonts w:hint="eastAsia" w:ascii="仿宋" w:hAnsi="仿宋" w:eastAsia="仿宋" w:cs="仿宋"/>
          <w:color w:val="auto"/>
          <w:sz w:val="32"/>
          <w:szCs w:val="32"/>
          <w:lang w:eastAsia="zh-CN"/>
        </w:rPr>
        <w:t>，</w:t>
      </w:r>
      <w:bookmarkStart w:id="12" w:name="_GoBack"/>
      <w:bookmarkEnd w:id="12"/>
      <w:r>
        <w:rPr>
          <w:rFonts w:hint="eastAsia" w:ascii="仿宋" w:hAnsi="仿宋" w:eastAsia="仿宋" w:cs="仿宋"/>
          <w:color w:val="auto"/>
          <w:sz w:val="32"/>
          <w:szCs w:val="32"/>
        </w:rPr>
        <w:t>共产生废石体积17.71万立方米、拆除废弃物0.13万立方米。</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规划露天采坑总面积约77400平方米，平均开采深度22.8米，最终帮坡角32-35°，采场容积约149.05万立方米；全部回填需废石149.05万立方米。设计对露天采坑边坡进行筑坡，筑坡方量为8.0万立方米，剩余废石约9.71万立方米全部用于露天采坑回填。</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基建、生产废石总量共计17.71万立方米，剥离表土2.50万立方米，复垦区内需方量149.05万立方米，需方大于有方，差方量128.84万立方米。露天采坑原始边坡角度为45°，平均高度为23.1米，利用17.71万立方米废石对露天采坑边坡进行筑坡，使边坡角降为30°，其他废石内排时向采坑内部边缘合理堆排并压实，可有效减小边坡落差，基本与周边地形相协调。</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（3）水资源平衡分析</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根据矿区自然、气象水文条件及复垦工程实施的可操作性，确定本项目土地复垦方向为天然牧草地，该区雨季降雨较多，复垦播撒草籽时节为雨季，可为草籽提供生长所需水分，因此不涉及灌溉工程。复垦过程中用水为生活用水及机械用水，复垦工程用水由沙湾市拉运到矿山，用水量较小。</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因此本项目土地复垦工程可实现水源供需平衡。</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5、土地复垦工程措施</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bookmarkStart w:id="10" w:name="_Hlk92294388"/>
      <w:r>
        <w:rPr>
          <w:rFonts w:hint="eastAsia" w:ascii="仿宋" w:hAnsi="仿宋" w:eastAsia="仿宋" w:cs="仿宋"/>
          <w:color w:val="auto"/>
          <w:sz w:val="32"/>
          <w:szCs w:val="32"/>
        </w:rPr>
        <w:t>本方案划分6个土地复垦单元，主要的复垦单元为规划露天采坑、规划矿山道路、规划工业广场、规划矿部生活区、规划废料堆放场。各单元复垦方向均为草地（天然牧草地），土地复垦率为100%。</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主要复垦措施为拆除全部地表建筑设施，建筑拆除物拉运至沙湾市统一处理；利用废石对露天采坑进行内排筑坡，对全部复垦区域进行场地平整。复垦土地类型为草地（天然牧草地）。</w:t>
      </w:r>
    </w:p>
    <w:bookmarkEnd w:id="10"/>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6、土地复垦监测</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bookmarkStart w:id="11" w:name="_Hlk92295462"/>
      <w:r>
        <w:rPr>
          <w:rFonts w:hint="eastAsia" w:ascii="仿宋" w:hAnsi="仿宋" w:eastAsia="仿宋" w:cs="仿宋"/>
          <w:color w:val="auto"/>
          <w:sz w:val="32"/>
          <w:szCs w:val="32"/>
        </w:rPr>
        <w:t>各复垦单元分别设置1个监测点，包括规划露天采坑、规划矿山道路、规划工业广场、规划矿部生活区、规划废料堆放场、规划表土堆放场6个复垦单元，共6个监测点。主要进行土地损毁监测和复垦实施效果监测</w:t>
      </w:r>
      <w:bookmarkEnd w:id="11"/>
      <w:r>
        <w:rPr>
          <w:rFonts w:hint="eastAsia" w:ascii="仿宋" w:hAnsi="仿宋" w:eastAsia="仿宋" w:cs="仿宋"/>
          <w:color w:val="auto"/>
          <w:sz w:val="32"/>
          <w:szCs w:val="32"/>
        </w:rPr>
        <w:t>。</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7、土地复垦实施年限</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矿山计划于2029年8月开采完毕，于2029年9月-2033年1月进行全面的土地复垦工作，矿山损毁土地类型为草地（天然牧草地），计划施工期为0.5年及复垦管护期3年，最终土地复垦实施年限为3年6个月。</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8、土地复垦阶段工作安排</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矿山期建期1年，矿山服务年限为4.87年，复垦管护期3.5年，共8.87年。按照轻重缓急、分阶段实施的原则，将矿山土地复垦工作划分为近期（含基建期0.5年、生产期4.5年，2024年5月-2029年4月），中期0.37年（生产期，2029年5月-2029年8月），远期3.5年（复垦管护期3.5年，2029年9月-2033年1月）。</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九、技术经济指标</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该砂厂为自上而下水平分层露天采矿方式，采砂建设投资全部自筹。从上述经济分析可以看出，该项目总投资1032.96万元，正常生产后年净利润为249.47万元，年上缴税金83.16万元，生产期年平均制造成本325.66万元，生产期年平均经营成本237.9万元，项目投资净利润率24.15%，投资利税率47.55%，投资回收期为4.14年。</w:t>
      </w:r>
    </w:p>
    <w:p>
      <w:pPr>
        <w:keepNext w:val="0"/>
        <w:keepLines w:val="0"/>
        <w:pageBreakBefore w:val="0"/>
        <w:kinsoku w:val="0"/>
        <w:wordWrap/>
        <w:overflowPunct/>
        <w:topLinePunct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方案矿山地质环境治理工程和土地复垦工程经费估算，矿山地质环境治理和土地复垦工程动态总投资为264.05万元，静态总投资241.85万元。矿山地质环境治理静态总投资71.12万元，其中：工程施工费45.28万元，设备费0万元，监测费15.81万元，其他费用6.65万元，基本预备费2.03万元，风险金1.35万元；土地复垦工程静态总投资170.73万元，其中：工程施工费137.92万元，土地复垦监测与管护费4.43万元，其他费用20.25万元，预备费8.13万元。</w:t>
      </w:r>
    </w:p>
    <w:p>
      <w:pPr>
        <w:keepNext w:val="0"/>
        <w:keepLines w:val="0"/>
        <w:pageBreakBefore w:val="0"/>
        <w:kinsoku w:val="0"/>
        <w:wordWrap/>
        <w:overflowPunct/>
        <w:topLinePunct w:val="0"/>
        <w:bidi w:val="0"/>
        <w:adjustRightInd w:val="0"/>
        <w:snapToGrid w:val="0"/>
        <w:spacing w:line="560" w:lineRule="exact"/>
        <w:ind w:firstLine="640" w:firstLineChars="200"/>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十、存在的问题及建议</w:t>
      </w: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1、矿山在开采过程中，应设专门机构加强矿山地质环境监测，发现地质灾害迹象或地质环境问题应及时上报，有关部门应及时处理。</w:t>
      </w: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2、矿山生产过程中，应严格执行国家现行的矿山安全生产规范、规程、规定和标准，确保矿山建设和生产的安全。</w:t>
      </w: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3、加强矿山地质环境保护与土地复垦的管理及监督工作。</w:t>
      </w: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color w:val="auto"/>
          <w:sz w:val="32"/>
          <w:szCs w:val="32"/>
        </w:rPr>
      </w:pPr>
    </w:p>
    <w:p>
      <w:pPr>
        <w:pStyle w:val="2"/>
        <w:keepNext w:val="0"/>
        <w:keepLines w:val="0"/>
        <w:pageBreakBefore w:val="0"/>
        <w:kinsoku w:val="0"/>
        <w:wordWrap/>
        <w:overflowPunct/>
        <w:topLinePunct w:val="0"/>
        <w:bidi w:val="0"/>
        <w:adjustRightInd w:val="0"/>
        <w:snapToGrid w:val="0"/>
        <w:spacing w:line="560" w:lineRule="exact"/>
        <w:textAlignment w:val="baseline"/>
        <w:rPr>
          <w:rFonts w:hint="eastAsia" w:ascii="仿宋" w:hAnsi="仿宋" w:eastAsia="仿宋" w:cs="仿宋"/>
          <w:color w:val="auto"/>
          <w:sz w:val="32"/>
          <w:szCs w:val="32"/>
        </w:rPr>
      </w:pPr>
    </w:p>
    <w:p>
      <w:pPr>
        <w:pStyle w:val="4"/>
        <w:keepNext w:val="0"/>
        <w:keepLines w:val="0"/>
        <w:pageBreakBefore w:val="0"/>
        <w:kinsoku w:val="0"/>
        <w:wordWrap/>
        <w:overflowPunct/>
        <w:topLinePunct w:val="0"/>
        <w:bidi w:val="0"/>
        <w:adjustRightInd w:val="0"/>
        <w:snapToGrid w:val="0"/>
        <w:spacing w:line="560" w:lineRule="exact"/>
        <w:textAlignment w:val="baseline"/>
        <w:rPr>
          <w:rFonts w:hint="eastAsia"/>
        </w:rPr>
      </w:pP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评审专家组</w:t>
      </w:r>
    </w:p>
    <w:p>
      <w:pPr>
        <w:keepNext w:val="0"/>
        <w:keepLines w:val="0"/>
        <w:pageBreakBefore w:val="0"/>
        <w:kinsoku w:val="0"/>
        <w:wordWrap/>
        <w:overflowPunct/>
        <w:topLinePunct w:val="0"/>
        <w:bidi w:val="0"/>
        <w:adjustRightInd w:val="0"/>
        <w:snapToGrid w:val="0"/>
        <w:spacing w:line="56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2024.4.16</w:t>
      </w:r>
    </w:p>
    <w:p>
      <w:pPr>
        <w:spacing w:line="560" w:lineRule="exact"/>
        <w:ind w:firstLine="480"/>
        <w:rPr>
          <w:rFonts w:ascii="宋体" w:hAnsi="宋体" w:eastAsia="宋体" w:cs="宋体"/>
          <w:color w:val="auto"/>
          <w:sz w:val="28"/>
          <w:szCs w:val="28"/>
        </w:rPr>
      </w:pPr>
    </w:p>
    <w:p>
      <w:pPr>
        <w:pStyle w:val="2"/>
        <w:rPr>
          <w:rFonts w:eastAsiaTheme="minorEastAsia"/>
        </w:rPr>
      </w:pPr>
    </w:p>
    <w:p>
      <w:pPr>
        <w:pStyle w:val="4"/>
      </w:pPr>
    </w:p>
    <w:p>
      <w:pPr>
        <w:rPr>
          <w:rFonts w:eastAsiaTheme="minorEastAsia"/>
        </w:rPr>
      </w:pPr>
    </w:p>
    <w:p>
      <w:pPr>
        <w:pStyle w:val="2"/>
        <w:rPr>
          <w:rFonts w:eastAsiaTheme="minorEastAsia"/>
        </w:rPr>
      </w:pPr>
    </w:p>
    <w:p>
      <w:pPr>
        <w:pStyle w:val="4"/>
      </w:pPr>
    </w:p>
    <w:p>
      <w:pPr>
        <w:rPr>
          <w:rFonts w:eastAsiaTheme="minorEastAsia"/>
        </w:rPr>
      </w:pPr>
    </w:p>
    <w:p>
      <w:pPr>
        <w:pStyle w:val="2"/>
        <w:rPr>
          <w:rFonts w:eastAsiaTheme="minorEastAsia"/>
        </w:rPr>
      </w:pPr>
    </w:p>
    <w:p>
      <w:pPr>
        <w:pStyle w:val="4"/>
        <w:rPr>
          <w:rFonts w:hint="eastAsia"/>
        </w:rPr>
      </w:pPr>
    </w:p>
    <w:p>
      <w:pPr>
        <w:rPr>
          <w:rFonts w:hint="eastAsia" w:eastAsiaTheme="minorEastAsia"/>
        </w:rPr>
      </w:pPr>
    </w:p>
    <w:p>
      <w:pPr>
        <w:pStyle w:val="2"/>
        <w:rPr>
          <w:rFonts w:hint="eastAsia" w:eastAsiaTheme="minorEastAsia"/>
        </w:rPr>
      </w:pPr>
    </w:p>
    <w:p>
      <w:pPr>
        <w:pStyle w:val="4"/>
        <w:rPr>
          <w:rFonts w:hint="eastAsia"/>
        </w:rPr>
      </w:pPr>
    </w:p>
    <w:p>
      <w:pPr>
        <w:rPr>
          <w:rFonts w:eastAsiaTheme="minorEastAsia"/>
        </w:rPr>
      </w:pPr>
    </w:p>
    <w:p>
      <w:pPr>
        <w:pStyle w:val="2"/>
        <w:rPr>
          <w:rFonts w:eastAsiaTheme="minorEastAsia"/>
        </w:rPr>
      </w:pPr>
    </w:p>
    <w:p>
      <w:pPr>
        <w:pStyle w:val="4"/>
      </w:pPr>
    </w:p>
    <w:p>
      <w:pPr>
        <w:rPr>
          <w:rFonts w:eastAsiaTheme="minorEastAsia"/>
        </w:rPr>
      </w:pPr>
    </w:p>
    <w:p>
      <w:pPr>
        <w:pStyle w:val="2"/>
        <w:rPr>
          <w:rFonts w:eastAsiaTheme="minorEastAsia"/>
        </w:rPr>
      </w:pPr>
    </w:p>
    <w:p>
      <w:pPr>
        <w:pStyle w:val="4"/>
        <w:rPr>
          <w:rFonts w:eastAsiaTheme="minorEastAsia"/>
        </w:rPr>
      </w:pPr>
    </w:p>
    <w:p/>
    <w:p>
      <w:pPr>
        <w:pStyle w:val="4"/>
        <w:ind w:left="0" w:firstLine="0"/>
        <w:rPr>
          <w:rFonts w:hint="eastAsia" w:ascii="仿宋" w:hAnsi="仿宋" w:eastAsia="仿宋" w:cs="仿宋"/>
          <w:sz w:val="32"/>
          <w:szCs w:val="32"/>
        </w:rPr>
      </w:pPr>
      <w:r>
        <w:rPr>
          <w:rFonts w:hint="eastAsia" w:ascii="仿宋" w:hAnsi="仿宋" w:eastAsia="仿宋" w:cs="仿宋"/>
          <w:color w:val="auto"/>
          <w:sz w:val="32"/>
          <w:szCs w:val="32"/>
        </w:rPr>
        <w:t xml:space="preserve">   附：评审专家组名单</w:t>
      </w:r>
    </w:p>
    <w:p>
      <w:pPr>
        <w:spacing w:line="560" w:lineRule="exact"/>
        <w:ind w:firstLine="480"/>
        <w:rPr>
          <w:rFonts w:ascii="宋体" w:hAnsi="宋体" w:eastAsia="宋体" w:cs="宋体"/>
          <w:color w:val="auto"/>
          <w:sz w:val="28"/>
          <w:szCs w:val="28"/>
        </w:rPr>
      </w:pPr>
    </w:p>
    <w:p>
      <w:pPr>
        <w:spacing w:line="560" w:lineRule="exact"/>
        <w:ind w:firstLine="480"/>
        <w:rPr>
          <w:rFonts w:ascii="宋体" w:hAnsi="宋体" w:eastAsia="宋体" w:cs="宋体"/>
          <w:color w:val="auto"/>
          <w:sz w:val="28"/>
          <w:szCs w:val="28"/>
        </w:rPr>
      </w:pPr>
    </w:p>
    <w:p>
      <w:pPr>
        <w:spacing w:line="560" w:lineRule="exact"/>
        <w:ind w:firstLine="480"/>
        <w:rPr>
          <w:rFonts w:ascii="宋体" w:hAnsi="宋体" w:eastAsia="宋体" w:cs="宋体"/>
          <w:color w:val="auto"/>
          <w:sz w:val="28"/>
          <w:szCs w:val="28"/>
        </w:rPr>
      </w:pPr>
    </w:p>
    <w:p>
      <w:pPr>
        <w:spacing w:line="560" w:lineRule="exact"/>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w:t>
      </w:r>
      <w:r>
        <w:rPr>
          <w:rFonts w:hint="eastAsia" w:ascii="仿宋" w:hAnsi="仿宋" w:eastAsia="仿宋" w:cs="仿宋"/>
          <w:b/>
          <w:bCs/>
          <w:color w:val="auto"/>
          <w:sz w:val="32"/>
          <w:szCs w:val="32"/>
        </w:rPr>
        <w:t>新疆瑞晟城市投资发展有限公司沙湾市安集海镇砂石土集中开采区（II）-1号建筑用砂石矿矿产资源开发利用与生态保护修复方案》评审专家组成员名单</w:t>
      </w:r>
    </w:p>
    <w:tbl>
      <w:tblPr>
        <w:tblStyle w:val="13"/>
        <w:tblW w:w="928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7"/>
        <w:gridCol w:w="2427"/>
        <w:gridCol w:w="1774"/>
        <w:gridCol w:w="1856"/>
        <w:gridCol w:w="1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姓名</w:t>
            </w:r>
          </w:p>
        </w:tc>
        <w:tc>
          <w:tcPr>
            <w:tcW w:w="242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单  位</w:t>
            </w:r>
          </w:p>
        </w:tc>
        <w:tc>
          <w:tcPr>
            <w:tcW w:w="1774"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专业</w:t>
            </w:r>
          </w:p>
        </w:tc>
        <w:tc>
          <w:tcPr>
            <w:tcW w:w="1856"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技术职称</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张书林</w:t>
            </w:r>
          </w:p>
        </w:tc>
        <w:tc>
          <w:tcPr>
            <w:tcW w:w="242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新疆天地源矿业公司</w:t>
            </w:r>
          </w:p>
        </w:tc>
        <w:tc>
          <w:tcPr>
            <w:tcW w:w="1774"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采   矿</w:t>
            </w:r>
          </w:p>
        </w:tc>
        <w:tc>
          <w:tcPr>
            <w:tcW w:w="1856"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高级工程师</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drawing>
                <wp:inline distT="0" distB="0" distL="114300" distR="114300">
                  <wp:extent cx="1042035" cy="570230"/>
                  <wp:effectExtent l="0" t="0" r="5715" b="1270"/>
                  <wp:docPr id="4" name="图片 1" descr="d2fcb4e6f502ba747fb167e654c3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2fcb4e6f502ba747fb167e654c3e14"/>
                          <pic:cNvPicPr>
                            <a:picLocks noChangeAspect="1"/>
                          </pic:cNvPicPr>
                        </pic:nvPicPr>
                        <pic:blipFill>
                          <a:blip r:embed="rId7"/>
                          <a:stretch>
                            <a:fillRect/>
                          </a:stretch>
                        </pic:blipFill>
                        <pic:spPr>
                          <a:xfrm>
                            <a:off x="0" y="0"/>
                            <a:ext cx="1042035" cy="57023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王  勇</w:t>
            </w:r>
          </w:p>
        </w:tc>
        <w:tc>
          <w:tcPr>
            <w:tcW w:w="2427" w:type="dxa"/>
            <w:vAlign w:val="center"/>
          </w:tcPr>
          <w:p>
            <w:pPr>
              <w:jc w:val="center"/>
              <w:rPr>
                <w:rFonts w:ascii="仿宋" w:hAnsi="仿宋" w:eastAsia="仿宋"/>
                <w:color w:val="FF0000"/>
              </w:rPr>
            </w:pPr>
            <w:r>
              <w:rPr>
                <w:rFonts w:hint="eastAsia" w:ascii="仿宋" w:hAnsi="仿宋" w:eastAsia="仿宋" w:cs="宋体"/>
                <w:color w:val="auto"/>
                <w:sz w:val="28"/>
                <w:szCs w:val="28"/>
              </w:rPr>
              <w:t>新疆地矿局第一水文地质大队</w:t>
            </w:r>
          </w:p>
        </w:tc>
        <w:tc>
          <w:tcPr>
            <w:tcW w:w="1774"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地   环</w:t>
            </w:r>
          </w:p>
        </w:tc>
        <w:tc>
          <w:tcPr>
            <w:tcW w:w="1856"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高级工程师</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drawing>
                <wp:inline distT="0" distB="0" distL="114300" distR="114300">
                  <wp:extent cx="990600" cy="666750"/>
                  <wp:effectExtent l="0" t="0" r="0" b="0"/>
                  <wp:docPr id="5" name="图片 2" descr="5ce7b0e609c78c654e6c36fa2bdf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5ce7b0e609c78c654e6c36fa2bdf46a"/>
                          <pic:cNvPicPr>
                            <a:picLocks noChangeAspect="1"/>
                          </pic:cNvPicPr>
                        </pic:nvPicPr>
                        <pic:blipFill>
                          <a:blip r:embed="rId8"/>
                          <a:stretch>
                            <a:fillRect/>
                          </a:stretch>
                        </pic:blipFill>
                        <pic:spPr>
                          <a:xfrm>
                            <a:off x="0" y="0"/>
                            <a:ext cx="990600" cy="66675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刘湘茹</w:t>
            </w:r>
          </w:p>
        </w:tc>
        <w:tc>
          <w:tcPr>
            <w:tcW w:w="2427" w:type="dxa"/>
            <w:vAlign w:val="center"/>
          </w:tcPr>
          <w:p>
            <w:pPr>
              <w:jc w:val="center"/>
              <w:rPr>
                <w:rFonts w:ascii="仿宋" w:hAnsi="仿宋" w:eastAsia="仿宋"/>
                <w:color w:val="FF0000"/>
              </w:rPr>
            </w:pPr>
            <w:r>
              <w:rPr>
                <w:rFonts w:hint="eastAsia" w:ascii="仿宋" w:hAnsi="仿宋" w:eastAsia="仿宋" w:cs="宋体"/>
                <w:color w:val="auto"/>
                <w:sz w:val="28"/>
                <w:szCs w:val="28"/>
              </w:rPr>
              <w:t>新疆国土综合整治中心</w:t>
            </w:r>
          </w:p>
        </w:tc>
        <w:tc>
          <w:tcPr>
            <w:tcW w:w="1774"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土   地</w:t>
            </w:r>
          </w:p>
        </w:tc>
        <w:tc>
          <w:tcPr>
            <w:tcW w:w="1856"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高级工程师</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drawing>
                <wp:inline distT="0" distB="0" distL="114300" distR="114300">
                  <wp:extent cx="1041400" cy="465455"/>
                  <wp:effectExtent l="0" t="0" r="6350" b="10795"/>
                  <wp:docPr id="6" name="图片 3" descr="f4655015f3c4d7f642b6f3d0e6ab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f4655015f3c4d7f642b6f3d0e6ab877"/>
                          <pic:cNvPicPr>
                            <a:picLocks noChangeAspect="1"/>
                          </pic:cNvPicPr>
                        </pic:nvPicPr>
                        <pic:blipFill>
                          <a:blip r:embed="rId9"/>
                          <a:stretch>
                            <a:fillRect/>
                          </a:stretch>
                        </pic:blipFill>
                        <pic:spPr>
                          <a:xfrm>
                            <a:off x="0" y="0"/>
                            <a:ext cx="1041400" cy="465455"/>
                          </a:xfrm>
                          <a:prstGeom prst="rect">
                            <a:avLst/>
                          </a:prstGeom>
                        </pic:spPr>
                      </pic:pic>
                    </a:graphicData>
                  </a:graphic>
                </wp:inline>
              </w:drawing>
            </w:r>
          </w:p>
        </w:tc>
      </w:tr>
    </w:tbl>
    <w:p>
      <w:pPr>
        <w:spacing w:line="560" w:lineRule="exact"/>
        <w:ind w:firstLine="560" w:firstLineChars="200"/>
        <w:rPr>
          <w:rFonts w:ascii="宋体" w:hAnsi="宋体" w:eastAsia="宋体" w:cs="宋体"/>
          <w:color w:val="auto"/>
          <w:sz w:val="28"/>
          <w:szCs w:val="28"/>
        </w:rPr>
      </w:pPr>
    </w:p>
    <w:p>
      <w:pPr>
        <w:spacing w:line="560" w:lineRule="exact"/>
        <w:ind w:firstLine="560" w:firstLineChars="200"/>
        <w:rPr>
          <w:rFonts w:ascii="宋体" w:hAnsi="宋体" w:eastAsia="宋体" w:cs="宋体"/>
          <w:color w:val="FF0000"/>
          <w:sz w:val="28"/>
          <w:szCs w:val="28"/>
        </w:rPr>
      </w:pPr>
    </w:p>
    <w:p>
      <w:pPr>
        <w:spacing w:line="560" w:lineRule="exact"/>
        <w:ind w:firstLine="560" w:firstLineChars="200"/>
        <w:rPr>
          <w:rFonts w:ascii="宋体" w:hAnsi="宋体" w:eastAsia="宋体" w:cs="宋体"/>
          <w:color w:val="FF0000"/>
          <w:sz w:val="28"/>
          <w:szCs w:val="28"/>
        </w:rPr>
      </w:pPr>
    </w:p>
    <w:sectPr>
      <w:footerReference r:id="rId5" w:type="default"/>
      <w:pgSz w:w="11907" w:h="16839"/>
      <w:pgMar w:top="1421" w:right="1414" w:bottom="1341" w:left="1428" w:header="0" w:footer="11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Romana BT">
    <w:altName w:val="Times New Roman"/>
    <w:panose1 w:val="00000000000000000000"/>
    <w:charset w:val="00"/>
    <w:family w:val="roman"/>
    <w:pitch w:val="default"/>
    <w:sig w:usb0="00000000" w:usb1="00000000" w:usb2="00000000" w:usb3="00000000" w:csb0="0000001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409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eR7v+iAQAA&#10;RAMAAA4AAAAAAAAAAAAAAAAALgIAAGRycy9lMm9Eb2MueG1sUEsBAi0AFAAGAAgAAAAhAAxK8O7W&#10;AAAABQEAAA8AAAAAAAAAAAAAAAAA/AMAAGRycy9kb3ducmV2LnhtbFBLBQYAAAAABAAEAPMAAAD/&#10;B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8"/>
      </w:rPr>
    </w:pPr>
    <w:r>
      <w:pict>
        <v:shape id="4099"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Enlamil&#10;AQAASwMAAA4AAAAAAAAAAAAAAAAALgIAAGRycy9lMm9Eb2MueG1sUEsBAi0AFAAGAAgAAAAhAAxK&#10;8O7WAAAABQEAAA8AAAAAAAAAAAAAAAAA/wMAAGRycy9kb3ducmV2LnhtbFBLBQYAAAAABAAEAPMA&#10;AAAC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2FC98"/>
    <w:multiLevelType w:val="singleLevel"/>
    <w:tmpl w:val="8862FC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0"/>
  <w:characterSpacingControl w:val="doNotCompress"/>
  <w:hdrShapeDefaults>
    <o:shapelayout v:ext="edit">
      <o:idmap v:ext="edit" data="3"/>
    </o:shapelayout>
  </w:hdrShapeDefaults>
  <w:compat>
    <w:spaceForUL/>
    <w:ulTrailSpace/>
    <w:useFELayout/>
    <w:compatSetting w:name="compatibilityMode" w:uri="http://schemas.microsoft.com/office/word" w:val="12"/>
  </w:compat>
  <w:docVars>
    <w:docVar w:name="commondata" w:val="eyJoZGlkIjoiMTUwMDhkYTk5MmFjZWUyNDBjZmM5NjYzYmNmM2ZmYTgifQ=="/>
  </w:docVars>
  <w:rsids>
    <w:rsidRoot w:val="00957750"/>
    <w:rsid w:val="00013953"/>
    <w:rsid w:val="00015BC9"/>
    <w:rsid w:val="000179BD"/>
    <w:rsid w:val="00035884"/>
    <w:rsid w:val="00035BD2"/>
    <w:rsid w:val="0004507B"/>
    <w:rsid w:val="000620AB"/>
    <w:rsid w:val="00083958"/>
    <w:rsid w:val="00095B56"/>
    <w:rsid w:val="000A185B"/>
    <w:rsid w:val="000A7304"/>
    <w:rsid w:val="000B22DF"/>
    <w:rsid w:val="000C6249"/>
    <w:rsid w:val="0011262E"/>
    <w:rsid w:val="00122F3C"/>
    <w:rsid w:val="001746D1"/>
    <w:rsid w:val="001B7764"/>
    <w:rsid w:val="00224B13"/>
    <w:rsid w:val="00225241"/>
    <w:rsid w:val="002461E8"/>
    <w:rsid w:val="00254407"/>
    <w:rsid w:val="00274FDA"/>
    <w:rsid w:val="0028634F"/>
    <w:rsid w:val="002A2F6B"/>
    <w:rsid w:val="002A5CE7"/>
    <w:rsid w:val="002A723F"/>
    <w:rsid w:val="002B4A6F"/>
    <w:rsid w:val="002D475A"/>
    <w:rsid w:val="002E4536"/>
    <w:rsid w:val="002E572C"/>
    <w:rsid w:val="00301E65"/>
    <w:rsid w:val="0032784C"/>
    <w:rsid w:val="0035261C"/>
    <w:rsid w:val="00355421"/>
    <w:rsid w:val="00367970"/>
    <w:rsid w:val="003A5647"/>
    <w:rsid w:val="003B1D67"/>
    <w:rsid w:val="003B5586"/>
    <w:rsid w:val="003D0107"/>
    <w:rsid w:val="00406132"/>
    <w:rsid w:val="00421B20"/>
    <w:rsid w:val="00431D3D"/>
    <w:rsid w:val="004621CB"/>
    <w:rsid w:val="00465788"/>
    <w:rsid w:val="004C1975"/>
    <w:rsid w:val="004C21D1"/>
    <w:rsid w:val="004E0060"/>
    <w:rsid w:val="004F07E5"/>
    <w:rsid w:val="004F59D5"/>
    <w:rsid w:val="00520092"/>
    <w:rsid w:val="005324F9"/>
    <w:rsid w:val="00535DFC"/>
    <w:rsid w:val="00563A50"/>
    <w:rsid w:val="00577448"/>
    <w:rsid w:val="005A23D3"/>
    <w:rsid w:val="005C3F41"/>
    <w:rsid w:val="005E4520"/>
    <w:rsid w:val="005E49FE"/>
    <w:rsid w:val="005F67E5"/>
    <w:rsid w:val="005F71F2"/>
    <w:rsid w:val="00601954"/>
    <w:rsid w:val="00604B61"/>
    <w:rsid w:val="00654FB5"/>
    <w:rsid w:val="006740E0"/>
    <w:rsid w:val="00675AD6"/>
    <w:rsid w:val="00675F75"/>
    <w:rsid w:val="00690EC8"/>
    <w:rsid w:val="00694016"/>
    <w:rsid w:val="006C0D22"/>
    <w:rsid w:val="006D2DAF"/>
    <w:rsid w:val="006D69DD"/>
    <w:rsid w:val="006F1EB5"/>
    <w:rsid w:val="00704E95"/>
    <w:rsid w:val="007239CF"/>
    <w:rsid w:val="0075034C"/>
    <w:rsid w:val="00751F21"/>
    <w:rsid w:val="007601F6"/>
    <w:rsid w:val="0076495D"/>
    <w:rsid w:val="00782AC9"/>
    <w:rsid w:val="00785A55"/>
    <w:rsid w:val="007900B7"/>
    <w:rsid w:val="007A04E5"/>
    <w:rsid w:val="007B284D"/>
    <w:rsid w:val="007C0A91"/>
    <w:rsid w:val="007F3130"/>
    <w:rsid w:val="007F55FF"/>
    <w:rsid w:val="007F5651"/>
    <w:rsid w:val="00801117"/>
    <w:rsid w:val="00811921"/>
    <w:rsid w:val="008154BC"/>
    <w:rsid w:val="00832A28"/>
    <w:rsid w:val="008438E6"/>
    <w:rsid w:val="008444A6"/>
    <w:rsid w:val="00853767"/>
    <w:rsid w:val="008642B9"/>
    <w:rsid w:val="008B1EA8"/>
    <w:rsid w:val="008B2F4B"/>
    <w:rsid w:val="008C5FAD"/>
    <w:rsid w:val="008C6DCC"/>
    <w:rsid w:val="008D78B4"/>
    <w:rsid w:val="00925B98"/>
    <w:rsid w:val="00952508"/>
    <w:rsid w:val="00957750"/>
    <w:rsid w:val="009702CF"/>
    <w:rsid w:val="00970DFF"/>
    <w:rsid w:val="009846F2"/>
    <w:rsid w:val="009847A7"/>
    <w:rsid w:val="0099582A"/>
    <w:rsid w:val="009B0760"/>
    <w:rsid w:val="009B3970"/>
    <w:rsid w:val="009C2495"/>
    <w:rsid w:val="009C337E"/>
    <w:rsid w:val="009C7EFA"/>
    <w:rsid w:val="009D1654"/>
    <w:rsid w:val="00A02D88"/>
    <w:rsid w:val="00A3601F"/>
    <w:rsid w:val="00A622CA"/>
    <w:rsid w:val="00A66686"/>
    <w:rsid w:val="00A66B31"/>
    <w:rsid w:val="00A72F93"/>
    <w:rsid w:val="00A80B76"/>
    <w:rsid w:val="00A80B82"/>
    <w:rsid w:val="00A93B71"/>
    <w:rsid w:val="00AA0B5A"/>
    <w:rsid w:val="00AC42F9"/>
    <w:rsid w:val="00AC6A23"/>
    <w:rsid w:val="00AE07E1"/>
    <w:rsid w:val="00B044BC"/>
    <w:rsid w:val="00B11A34"/>
    <w:rsid w:val="00B16370"/>
    <w:rsid w:val="00B22F7B"/>
    <w:rsid w:val="00B31C4E"/>
    <w:rsid w:val="00B444ED"/>
    <w:rsid w:val="00B53102"/>
    <w:rsid w:val="00B56450"/>
    <w:rsid w:val="00B651BE"/>
    <w:rsid w:val="00B80794"/>
    <w:rsid w:val="00B8631D"/>
    <w:rsid w:val="00BA5139"/>
    <w:rsid w:val="00BB3D3D"/>
    <w:rsid w:val="00BD6CA7"/>
    <w:rsid w:val="00C6281A"/>
    <w:rsid w:val="00C70B7D"/>
    <w:rsid w:val="00C713DF"/>
    <w:rsid w:val="00C77BA7"/>
    <w:rsid w:val="00C8105D"/>
    <w:rsid w:val="00C811D6"/>
    <w:rsid w:val="00C838E8"/>
    <w:rsid w:val="00C84CED"/>
    <w:rsid w:val="00CD25F9"/>
    <w:rsid w:val="00CD7A83"/>
    <w:rsid w:val="00CF2932"/>
    <w:rsid w:val="00D04565"/>
    <w:rsid w:val="00D05A6D"/>
    <w:rsid w:val="00D200BD"/>
    <w:rsid w:val="00D2527F"/>
    <w:rsid w:val="00D30F14"/>
    <w:rsid w:val="00D34FC2"/>
    <w:rsid w:val="00D43468"/>
    <w:rsid w:val="00D5210F"/>
    <w:rsid w:val="00D750E4"/>
    <w:rsid w:val="00D843F0"/>
    <w:rsid w:val="00D91D48"/>
    <w:rsid w:val="00DA3433"/>
    <w:rsid w:val="00E21810"/>
    <w:rsid w:val="00E251A3"/>
    <w:rsid w:val="00E26044"/>
    <w:rsid w:val="00E41D66"/>
    <w:rsid w:val="00E505D2"/>
    <w:rsid w:val="00E62F24"/>
    <w:rsid w:val="00E675F8"/>
    <w:rsid w:val="00E95B73"/>
    <w:rsid w:val="00E96CC1"/>
    <w:rsid w:val="00EB2D09"/>
    <w:rsid w:val="00EC4E30"/>
    <w:rsid w:val="00ED2CA2"/>
    <w:rsid w:val="00ED66C1"/>
    <w:rsid w:val="00EE470D"/>
    <w:rsid w:val="00EE5E19"/>
    <w:rsid w:val="00EF6AB5"/>
    <w:rsid w:val="00F00C05"/>
    <w:rsid w:val="00F11274"/>
    <w:rsid w:val="00F17740"/>
    <w:rsid w:val="00F26745"/>
    <w:rsid w:val="00F27D75"/>
    <w:rsid w:val="00F3259E"/>
    <w:rsid w:val="00F545E4"/>
    <w:rsid w:val="00F72D2C"/>
    <w:rsid w:val="00F82AD1"/>
    <w:rsid w:val="00FB0E9A"/>
    <w:rsid w:val="00FB6D6A"/>
    <w:rsid w:val="00FE6907"/>
    <w:rsid w:val="00FF44BB"/>
    <w:rsid w:val="00FF5C71"/>
    <w:rsid w:val="01D96573"/>
    <w:rsid w:val="03830784"/>
    <w:rsid w:val="038928AB"/>
    <w:rsid w:val="04F9561C"/>
    <w:rsid w:val="053C1616"/>
    <w:rsid w:val="05AC7F84"/>
    <w:rsid w:val="07796682"/>
    <w:rsid w:val="07A910C8"/>
    <w:rsid w:val="08F52B8D"/>
    <w:rsid w:val="09855771"/>
    <w:rsid w:val="0A422713"/>
    <w:rsid w:val="0CFC44C4"/>
    <w:rsid w:val="0D5768DC"/>
    <w:rsid w:val="0D893D49"/>
    <w:rsid w:val="100930F8"/>
    <w:rsid w:val="10626E84"/>
    <w:rsid w:val="10F05EA7"/>
    <w:rsid w:val="11D87F8D"/>
    <w:rsid w:val="12415A67"/>
    <w:rsid w:val="12D316A1"/>
    <w:rsid w:val="15D338D5"/>
    <w:rsid w:val="160F750C"/>
    <w:rsid w:val="171E0622"/>
    <w:rsid w:val="18B740DA"/>
    <w:rsid w:val="19D733EF"/>
    <w:rsid w:val="1AAD6142"/>
    <w:rsid w:val="1B49150C"/>
    <w:rsid w:val="1B9B6AD5"/>
    <w:rsid w:val="1C4241E2"/>
    <w:rsid w:val="1F1C07F8"/>
    <w:rsid w:val="1FC64343"/>
    <w:rsid w:val="23FC103A"/>
    <w:rsid w:val="246758CC"/>
    <w:rsid w:val="24F20FFA"/>
    <w:rsid w:val="25535E50"/>
    <w:rsid w:val="28A864EB"/>
    <w:rsid w:val="29E057D9"/>
    <w:rsid w:val="2A21195C"/>
    <w:rsid w:val="2BA41A02"/>
    <w:rsid w:val="2CB573F1"/>
    <w:rsid w:val="2CBE5B06"/>
    <w:rsid w:val="2DFF7816"/>
    <w:rsid w:val="2E4D63C7"/>
    <w:rsid w:val="2FE50586"/>
    <w:rsid w:val="317E6691"/>
    <w:rsid w:val="37313B18"/>
    <w:rsid w:val="37E34E12"/>
    <w:rsid w:val="392E4F96"/>
    <w:rsid w:val="39A00A71"/>
    <w:rsid w:val="3ADC09AF"/>
    <w:rsid w:val="3E014C10"/>
    <w:rsid w:val="42514F93"/>
    <w:rsid w:val="426F3D67"/>
    <w:rsid w:val="4385580A"/>
    <w:rsid w:val="46C17060"/>
    <w:rsid w:val="470B7EE1"/>
    <w:rsid w:val="4854681D"/>
    <w:rsid w:val="48C55FA1"/>
    <w:rsid w:val="492D4C32"/>
    <w:rsid w:val="4B692A49"/>
    <w:rsid w:val="4BCE14DD"/>
    <w:rsid w:val="4E9C3BCC"/>
    <w:rsid w:val="5175093F"/>
    <w:rsid w:val="52955DB2"/>
    <w:rsid w:val="53227B62"/>
    <w:rsid w:val="532C5467"/>
    <w:rsid w:val="534C4879"/>
    <w:rsid w:val="53727255"/>
    <w:rsid w:val="54D71BBA"/>
    <w:rsid w:val="565D7311"/>
    <w:rsid w:val="565F5B54"/>
    <w:rsid w:val="56703650"/>
    <w:rsid w:val="56F41AB1"/>
    <w:rsid w:val="56F73048"/>
    <w:rsid w:val="5800606F"/>
    <w:rsid w:val="583E407C"/>
    <w:rsid w:val="58C12AF6"/>
    <w:rsid w:val="596C4444"/>
    <w:rsid w:val="5AD74D4A"/>
    <w:rsid w:val="5C5063E5"/>
    <w:rsid w:val="5D9D4B42"/>
    <w:rsid w:val="5E1A2EA3"/>
    <w:rsid w:val="5FE13A7D"/>
    <w:rsid w:val="5FF84015"/>
    <w:rsid w:val="611903EC"/>
    <w:rsid w:val="667567C4"/>
    <w:rsid w:val="6A0223C1"/>
    <w:rsid w:val="6AF117B2"/>
    <w:rsid w:val="6B435E9E"/>
    <w:rsid w:val="6C4D4548"/>
    <w:rsid w:val="6CDD2885"/>
    <w:rsid w:val="6ECE07C5"/>
    <w:rsid w:val="70B03CA9"/>
    <w:rsid w:val="720B16BC"/>
    <w:rsid w:val="73FC2230"/>
    <w:rsid w:val="74D41334"/>
    <w:rsid w:val="76F16BB5"/>
    <w:rsid w:val="7ADE3737"/>
    <w:rsid w:val="7C111B3F"/>
    <w:rsid w:val="7CA57EB5"/>
    <w:rsid w:val="7CB15915"/>
    <w:rsid w:val="7F5C4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3"/>
    <w:basedOn w:val="1"/>
    <w:next w:val="1"/>
    <w:link w:val="21"/>
    <w:unhideWhenUsed/>
    <w:qFormat/>
    <w:uiPriority w:val="0"/>
    <w:pPr>
      <w:keepNext/>
      <w:keepLines/>
      <w:widowControl w:val="0"/>
      <w:kinsoku/>
      <w:autoSpaceDE/>
      <w:autoSpaceDN/>
      <w:adjustRightInd/>
      <w:snapToGrid/>
      <w:spacing w:beforeLines="50" w:afterLines="50" w:line="500" w:lineRule="exact"/>
      <w:ind w:firstLine="561" w:firstLineChars="200"/>
      <w:jc w:val="both"/>
      <w:textAlignment w:val="auto"/>
      <w:outlineLvl w:val="2"/>
    </w:pPr>
    <w:rPr>
      <w:rFonts w:ascii="Times New Roman" w:hAnsi="Times New Roman" w:eastAsia="宋体" w:cs="Times New Roman"/>
      <w:b/>
      <w:bCs/>
      <w:snapToGrid/>
      <w:color w:val="auto"/>
      <w:kern w:val="2"/>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spacing w:after="120" w:line="240" w:lineRule="auto"/>
      <w:ind w:left="420" w:leftChars="200"/>
    </w:pPr>
    <w:rPr>
      <w:sz w:val="21"/>
    </w:rPr>
  </w:style>
  <w:style w:type="paragraph" w:styleId="3">
    <w:name w:val="Body Text Indent"/>
    <w:basedOn w:val="1"/>
    <w:qFormat/>
    <w:uiPriority w:val="99"/>
    <w:pPr>
      <w:spacing w:line="500" w:lineRule="exact"/>
      <w:ind w:firstLine="420" w:firstLineChars="200"/>
    </w:pPr>
    <w:rPr>
      <w:sz w:val="32"/>
      <w:szCs w:val="20"/>
    </w:rPr>
  </w:style>
  <w:style w:type="paragraph" w:styleId="4">
    <w:name w:val="List Continue 4"/>
    <w:basedOn w:val="1"/>
    <w:next w:val="1"/>
    <w:qFormat/>
    <w:uiPriority w:val="0"/>
    <w:pPr>
      <w:widowControl w:val="0"/>
      <w:autoSpaceDE/>
      <w:autoSpaceDN/>
      <w:spacing w:after="120" w:line="360" w:lineRule="auto"/>
      <w:ind w:left="1680" w:firstLine="480"/>
      <w:jc w:val="both"/>
    </w:pPr>
    <w:rPr>
      <w:rFonts w:ascii="宋体" w:eastAsia="宋体"/>
      <w:sz w:val="24"/>
    </w:r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Document Map"/>
    <w:basedOn w:val="1"/>
    <w:link w:val="22"/>
    <w:qFormat/>
    <w:uiPriority w:val="0"/>
    <w:rPr>
      <w:rFonts w:ascii="宋体" w:eastAsia="宋体"/>
      <w:sz w:val="18"/>
      <w:szCs w:val="18"/>
    </w:rPr>
  </w:style>
  <w:style w:type="paragraph" w:styleId="8">
    <w:name w:val="Body Text"/>
    <w:basedOn w:val="1"/>
    <w:link w:val="20"/>
    <w:qFormat/>
    <w:uiPriority w:val="0"/>
    <w:pPr>
      <w:spacing w:after="120"/>
    </w:pPr>
  </w:style>
  <w:style w:type="paragraph" w:styleId="9">
    <w:name w:val="Balloon Text"/>
    <w:basedOn w:val="1"/>
    <w:link w:val="19"/>
    <w:qFormat/>
    <w:uiPriority w:val="0"/>
    <w:rPr>
      <w:sz w:val="18"/>
      <w:szCs w:val="18"/>
    </w:rPr>
  </w:style>
  <w:style w:type="paragraph" w:styleId="10">
    <w:name w:val="footer"/>
    <w:basedOn w:val="1"/>
    <w:link w:val="17"/>
    <w:qFormat/>
    <w:uiPriority w:val="99"/>
    <w:pPr>
      <w:tabs>
        <w:tab w:val="center" w:pos="4153"/>
        <w:tab w:val="right" w:pos="8306"/>
      </w:tabs>
    </w:pPr>
    <w:rPr>
      <w:sz w:val="18"/>
      <w:szCs w:val="18"/>
    </w:rPr>
  </w:style>
  <w:style w:type="paragraph" w:styleId="11">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5">
    <w:name w:val="Table Normal"/>
    <w:qFormat/>
    <w:uiPriority w:val="0"/>
    <w:tblPr>
      <w:tblLayout w:type="fixed"/>
      <w:tblCellMar>
        <w:top w:w="0" w:type="dxa"/>
        <w:left w:w="0" w:type="dxa"/>
        <w:bottom w:w="0" w:type="dxa"/>
        <w:right w:w="0" w:type="dxa"/>
      </w:tblCellMar>
    </w:tblPr>
  </w:style>
  <w:style w:type="character" w:customStyle="1" w:styleId="16">
    <w:name w:val="页眉 Char"/>
    <w:basedOn w:val="14"/>
    <w:link w:val="11"/>
    <w:qFormat/>
    <w:uiPriority w:val="0"/>
    <w:rPr>
      <w:rFonts w:eastAsia="Arial"/>
      <w:snapToGrid w:val="0"/>
      <w:color w:val="000000"/>
      <w:sz w:val="18"/>
      <w:szCs w:val="18"/>
    </w:rPr>
  </w:style>
  <w:style w:type="character" w:customStyle="1" w:styleId="17">
    <w:name w:val="页脚 Char"/>
    <w:basedOn w:val="14"/>
    <w:link w:val="10"/>
    <w:qFormat/>
    <w:uiPriority w:val="99"/>
    <w:rPr>
      <w:rFonts w:eastAsia="Arial"/>
      <w:snapToGrid w:val="0"/>
      <w:color w:val="000000"/>
      <w:sz w:val="18"/>
      <w:szCs w:val="18"/>
    </w:rPr>
  </w:style>
  <w:style w:type="paragraph" w:styleId="18">
    <w:name w:val="List Paragraph"/>
    <w:basedOn w:val="1"/>
    <w:qFormat/>
    <w:uiPriority w:val="99"/>
    <w:pPr>
      <w:ind w:firstLine="420" w:firstLineChars="200"/>
    </w:pPr>
  </w:style>
  <w:style w:type="character" w:customStyle="1" w:styleId="19">
    <w:name w:val="批注框文本 Char"/>
    <w:basedOn w:val="14"/>
    <w:link w:val="9"/>
    <w:qFormat/>
    <w:uiPriority w:val="0"/>
    <w:rPr>
      <w:rFonts w:eastAsia="Arial"/>
      <w:snapToGrid w:val="0"/>
      <w:color w:val="000000"/>
      <w:sz w:val="18"/>
      <w:szCs w:val="18"/>
    </w:rPr>
  </w:style>
  <w:style w:type="character" w:customStyle="1" w:styleId="20">
    <w:name w:val="正文文本 Char"/>
    <w:basedOn w:val="14"/>
    <w:link w:val="8"/>
    <w:qFormat/>
    <w:uiPriority w:val="0"/>
    <w:rPr>
      <w:rFonts w:eastAsia="Arial"/>
      <w:snapToGrid w:val="0"/>
      <w:color w:val="000000"/>
      <w:sz w:val="21"/>
      <w:szCs w:val="21"/>
    </w:rPr>
  </w:style>
  <w:style w:type="character" w:customStyle="1" w:styleId="21">
    <w:name w:val="标题 3 Char"/>
    <w:basedOn w:val="14"/>
    <w:link w:val="5"/>
    <w:qFormat/>
    <w:uiPriority w:val="0"/>
    <w:rPr>
      <w:rFonts w:ascii="Times New Roman" w:hAnsi="Times New Roman" w:cs="Times New Roman"/>
      <w:b/>
      <w:bCs/>
      <w:kern w:val="2"/>
      <w:sz w:val="28"/>
      <w:szCs w:val="32"/>
    </w:rPr>
  </w:style>
  <w:style w:type="character" w:customStyle="1" w:styleId="22">
    <w:name w:val="文档结构图 Char"/>
    <w:basedOn w:val="14"/>
    <w:link w:val="7"/>
    <w:qFormat/>
    <w:uiPriority w:val="0"/>
    <w:rPr>
      <w:rFonts w:ascii="宋体"/>
      <w:snapToGrid w:val="0"/>
      <w:color w:val="000000"/>
      <w:sz w:val="18"/>
      <w:szCs w:val="18"/>
    </w:rPr>
  </w:style>
  <w:style w:type="paragraph" w:customStyle="1" w:styleId="23">
    <w:name w:val="目录 11"/>
    <w:basedOn w:val="1"/>
    <w:next w:val="1"/>
    <w:qFormat/>
    <w:uiPriority w:val="39"/>
    <w:pPr>
      <w:spacing w:before="120" w:after="120"/>
    </w:pPr>
    <w:rPr>
      <w:rFonts w:ascii="Romana BT" w:hAnsi="Romana BT" w:eastAsia="Romana BT" w:cs="Romana BT"/>
      <w:b/>
      <w:bCs/>
      <w:caps/>
      <w:sz w:val="20"/>
      <w:szCs w:val="20"/>
    </w:rPr>
  </w:style>
  <w:style w:type="paragraph" w:customStyle="1" w:styleId="24">
    <w:name w:val="样式66"/>
    <w:basedOn w:val="1"/>
    <w:qFormat/>
    <w:uiPriority w:val="0"/>
    <w:pPr>
      <w:ind w:firstLine="560" w:firstLineChars="200"/>
    </w:pPr>
    <w:rPr>
      <w:rFonts w:ascii="Romana BT" w:hAnsi="Romana BT" w:eastAsia="Romana BT" w:cs="Romana BT"/>
      <w:sz w:val="28"/>
      <w:szCs w:val="24"/>
    </w:rPr>
  </w:style>
  <w:style w:type="paragraph" w:customStyle="1" w:styleId="25">
    <w:name w:val="样式 左侧:  0 厘米 首行缩进:  0.85 厘米"/>
    <w:basedOn w:val="1"/>
    <w:qFormat/>
    <w:uiPriority w:val="0"/>
    <w:pPr>
      <w:widowControl w:val="0"/>
      <w:kinsoku/>
      <w:autoSpaceDE/>
      <w:autoSpaceDN/>
      <w:adjustRightInd/>
      <w:snapToGrid/>
      <w:ind w:firstLine="480"/>
      <w:jc w:val="both"/>
      <w:textAlignment w:val="auto"/>
    </w:pPr>
    <w:rPr>
      <w:rFonts w:ascii="Romana BT" w:hAnsi="Romana BT" w:eastAsia="Courier New" w:cs="Romana BT"/>
      <w:snapToGrid/>
      <w:color w:val="auto"/>
      <w:kern w:val="2"/>
      <w:sz w:val="24"/>
      <w:szCs w:val="20"/>
    </w:rPr>
  </w:style>
  <w:style w:type="paragraph" w:customStyle="1" w:styleId="26">
    <w:name w:val="表格"/>
    <w:basedOn w:val="1"/>
    <w:next w:val="1"/>
    <w:link w:val="27"/>
    <w:qFormat/>
    <w:uiPriority w:val="0"/>
    <w:pPr>
      <w:widowControl w:val="0"/>
      <w:kinsoku/>
      <w:autoSpaceDE/>
      <w:autoSpaceDN/>
      <w:adjustRightInd/>
      <w:jc w:val="center"/>
      <w:textAlignment w:val="auto"/>
    </w:pPr>
    <w:rPr>
      <w:rFonts w:ascii="Times New Roman" w:hAnsi="Times New Roman" w:eastAsia="宋体" w:cs="Times New Roman"/>
      <w:snapToGrid/>
      <w:color w:val="auto"/>
    </w:rPr>
  </w:style>
  <w:style w:type="character" w:customStyle="1" w:styleId="27">
    <w:name w:val="表格 字符"/>
    <w:basedOn w:val="14"/>
    <w:link w:val="26"/>
    <w:qFormat/>
    <w:uiPriority w:val="0"/>
    <w:rPr>
      <w:rFonts w:ascii="Times New Roman" w:hAnsi="Times New Roman" w:cs="Times New Roman"/>
      <w:sz w:val="21"/>
      <w:szCs w:val="21"/>
    </w:rPr>
  </w:style>
  <w:style w:type="paragraph" w:customStyle="1" w:styleId="28">
    <w:name w:val="Char"/>
    <w:basedOn w:val="1"/>
    <w:qFormat/>
    <w:uiPriority w:val="0"/>
    <w:pPr>
      <w:jc w:val="both"/>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C8491-7E9F-4E3C-835C-37D9BDB3AD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994</Words>
  <Characters>5668</Characters>
  <Lines>47</Lines>
  <Paragraphs>13</Paragraphs>
  <TotalTime>192</TotalTime>
  <ScaleCrop>false</ScaleCrop>
  <LinksUpToDate>false</LinksUpToDate>
  <CharactersWithSpaces>6649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2023-02-25T10:52:00Z</dcterms:created>
  <dc:creator>游明华(办公室)</dc:creator>
  <cp:lastModifiedBy>Administrator</cp:lastModifiedBy>
  <cp:lastPrinted>2024-04-26T10:02:00Z</cp:lastPrinted>
  <dcterms:modified xsi:type="dcterms:W3CDTF">2024-04-28T11:10:35Z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2052-11.8.2.8555</vt:lpwstr>
  </property>
  <property fmtid="{D5CDD505-2E9C-101B-9397-08002B2CF9AE}" pid="5" name="ICV">
    <vt:lpwstr>279DF30D593747C69DB2802403CA439F</vt:lpwstr>
  </property>
</Properties>
</file>