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沙湾市应急管理局行政许可事项清单</w:t>
      </w:r>
    </w:p>
    <w:p>
      <w:pPr>
        <w:pageBreakBefore w:val="0"/>
        <w:widowControl/>
        <w:kinsoku w:val="0"/>
        <w:wordWrap/>
        <w:overflowPunct/>
        <w:topLinePunct w:val="0"/>
        <w:autoSpaceDE w:val="0"/>
        <w:autoSpaceDN w:val="0"/>
        <w:bidi w:val="0"/>
        <w:adjustRightInd w:val="0"/>
        <w:snapToGrid w:val="0"/>
        <w:spacing w:line="480" w:lineRule="exact"/>
        <w:ind w:left="0" w:leftChars="0" w:firstLine="2891" w:firstLineChars="8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left="0" w:leftChars="0" w:firstLine="2891" w:firstLineChars="800"/>
        <w:textAlignment w:val="baseline"/>
        <w:rPr>
          <w:b/>
          <w:bCs/>
          <w:sz w:val="36"/>
          <w:szCs w:val="36"/>
        </w:rPr>
      </w:pPr>
      <w:r>
        <w:rPr>
          <w:b/>
          <w:bCs/>
          <w:sz w:val="36"/>
          <w:szCs w:val="36"/>
        </w:rPr>
        <w:t>危险化学品经营许可</w:t>
      </w:r>
    </w:p>
    <w:p>
      <w:pPr>
        <w:pageBreakBefore w:val="0"/>
        <w:widowControl/>
        <w:kinsoku w:val="0"/>
        <w:wordWrap/>
        <w:overflowPunct/>
        <w:topLinePunct w:val="0"/>
        <w:autoSpaceDE w:val="0"/>
        <w:autoSpaceDN w:val="0"/>
        <w:bidi w:val="0"/>
        <w:adjustRightInd w:val="0"/>
        <w:snapToGrid w:val="0"/>
        <w:spacing w:line="480" w:lineRule="exact"/>
        <w:textAlignment w:val="baseline"/>
        <w:rPr>
          <w:rFonts w:hint="default" w:ascii="Times New Roman" w:hAnsi="Times New Roman" w:eastAsia="楷体_GB2312" w:cstheme="minorBidi"/>
          <w:b/>
          <w:snapToGrid w:val="0"/>
          <w:color w:val="000000"/>
          <w:sz w:val="32"/>
          <w:szCs w:val="22"/>
          <w:lang w:val="en-US" w:eastAsia="zh-CN"/>
        </w:rPr>
      </w:pPr>
      <w:r>
        <w:rPr>
          <w:rFonts w:hint="eastAsia" w:ascii="Times New Roman" w:hAnsi="Times New Roman" w:eastAsia="楷体_GB2312" w:cstheme="minorBidi"/>
          <w:b/>
          <w:snapToGrid w:val="0"/>
          <w:color w:val="000000"/>
          <w:sz w:val="32"/>
          <w:szCs w:val="22"/>
          <w:lang w:val="en-US" w:eastAsia="zh-CN"/>
        </w:rPr>
        <w:t>一、依据</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default"/>
          <w:lang w:val="en-US" w:eastAsia="zh-CN"/>
        </w:rPr>
      </w:pPr>
      <w:r>
        <w:rPr>
          <w:rFonts w:hint="default"/>
          <w:lang w:val="en-US" w:eastAsia="zh-CN"/>
        </w:rPr>
        <w:t>《危险化学品安全管理条例》（2011年3月2日国务院令第591号公布，自2011年12月1日起施行。根据2013年12月7日国务院令第645号修正）</w:t>
      </w:r>
    </w:p>
    <w:p>
      <w:pPr>
        <w:pageBreakBefore w:val="0"/>
        <w:widowControl/>
        <w:kinsoku w:val="0"/>
        <w:wordWrap/>
        <w:overflowPunct/>
        <w:topLinePunct w:val="0"/>
        <w:autoSpaceDE w:val="0"/>
        <w:autoSpaceDN w:val="0"/>
        <w:bidi w:val="0"/>
        <w:adjustRightInd w:val="0"/>
        <w:snapToGrid w:val="0"/>
        <w:spacing w:line="480" w:lineRule="exact"/>
        <w:ind w:firstLine="951" w:firstLineChars="0"/>
        <w:jc w:val="left"/>
        <w:textAlignment w:val="baseline"/>
        <w:rPr>
          <w:rFonts w:hint="default"/>
          <w:lang w:val="en-US" w:eastAsia="zh-CN"/>
        </w:rPr>
      </w:pPr>
      <w:r>
        <w:rPr>
          <w:rFonts w:hint="default"/>
          <w:lang w:val="en-US" w:eastAsia="zh-CN"/>
        </w:rPr>
        <w:t>第三十三条第一款：国家对危险化学品经营（包括仓储经营，下同）实行许可制度。未经许可，任何单位和个人不得经营危险化学品。</w:t>
      </w:r>
    </w:p>
    <w:p>
      <w:pPr>
        <w:pageBreakBefore w:val="0"/>
        <w:widowControl/>
        <w:kinsoku w:val="0"/>
        <w:wordWrap/>
        <w:overflowPunct/>
        <w:topLinePunct w:val="0"/>
        <w:autoSpaceDE w:val="0"/>
        <w:autoSpaceDN w:val="0"/>
        <w:bidi w:val="0"/>
        <w:adjustRightInd w:val="0"/>
        <w:snapToGrid w:val="0"/>
        <w:spacing w:line="480" w:lineRule="exact"/>
        <w:ind w:firstLine="951" w:firstLineChars="0"/>
        <w:jc w:val="left"/>
        <w:textAlignment w:val="baseline"/>
        <w:rPr>
          <w:rFonts w:hint="default"/>
          <w:lang w:val="en-US" w:eastAsia="zh-CN"/>
        </w:rPr>
      </w:pPr>
      <w:r>
        <w:rPr>
          <w:rFonts w:hint="default"/>
          <w:lang w:val="en-US" w:eastAsia="zh-CN"/>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default"/>
          <w:lang w:val="en-US" w:eastAsia="zh-CN"/>
        </w:rPr>
      </w:pPr>
      <w:r>
        <w:rPr>
          <w:rFonts w:hint="eastAsia"/>
          <w:lang w:val="en-US" w:eastAsia="zh-CN"/>
        </w:rPr>
        <w:t>二、行政许可依据</w:t>
      </w:r>
    </w:p>
    <w:p>
      <w:pPr>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lang w:val="en-US" w:eastAsia="zh-CN"/>
        </w:rPr>
      </w:pPr>
      <w:r>
        <w:rPr>
          <w:rFonts w:hint="default"/>
          <w:lang w:val="en-US" w:eastAsia="zh-CN"/>
        </w:rPr>
        <w:t>《危险化学品经营许可证管理办法》（2012年7月17日原国家安全监管总局令第55号公布，自2012年9月1日起施行。根据2015年5月27日原国家安全监管总局令第79号修正）</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default"/>
          <w:lang w:val="en-US" w:eastAsia="zh-CN"/>
        </w:rPr>
      </w:pPr>
      <w:r>
        <w:rPr>
          <w:rFonts w:hint="default"/>
          <w:lang w:val="en-US" w:eastAsia="zh-CN"/>
        </w:rPr>
        <w:t>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p>
      <w:pPr>
        <w:pStyle w:val="2"/>
        <w:pageBreakBefore w:val="0"/>
        <w:widowControl/>
        <w:numPr>
          <w:ilvl w:val="0"/>
          <w:numId w:val="1"/>
        </w:numPr>
        <w:kinsoku w:val="0"/>
        <w:wordWrap/>
        <w:overflowPunct/>
        <w:topLinePunct w:val="0"/>
        <w:autoSpaceDE w:val="0"/>
        <w:autoSpaceDN w:val="0"/>
        <w:bidi w:val="0"/>
        <w:adjustRightInd w:val="0"/>
        <w:snapToGrid w:val="0"/>
        <w:spacing w:before="0" w:after="0" w:line="480" w:lineRule="exact"/>
        <w:ind w:left="-296" w:leftChars="0" w:firstLineChars="0"/>
        <w:textAlignment w:val="baseline"/>
        <w:rPr>
          <w:rFonts w:hint="eastAsia"/>
          <w:lang w:val="en-US" w:eastAsia="zh-CN"/>
        </w:rPr>
      </w:pPr>
      <w:r>
        <w:rPr>
          <w:rFonts w:hint="eastAsia"/>
          <w:lang w:val="en-US" w:eastAsia="zh-CN"/>
        </w:rPr>
        <w:t>申请条件</w:t>
      </w:r>
    </w:p>
    <w:p>
      <w:pPr>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szCs w:val="22"/>
          <w:lang w:val="en-US" w:eastAsia="zh-CN"/>
        </w:rPr>
      </w:pPr>
      <w:r>
        <w:rPr>
          <w:rFonts w:hint="eastAsia"/>
          <w:szCs w:val="22"/>
          <w:lang w:val="en-US" w:eastAsia="zh-CN"/>
        </w:rPr>
        <w:t>《危险化学品经营许可证管理办法》（2012年7月17日国家安全监管总局令第55号公布  根据2015年5月27日国家安全监管总局令第79号修正） 第九条 申请人申请经营许可证，应当依照本办法第五条规定向所在地市级或者县级发证机关（以下统称发证机关）提出申请，提交下列文件、资料，并对其真实性负责：（一）申请经营许可证的文件及申请书；（二）安全生产规章制度和岗位操作规程的目录清单；（三）经营场所产权证明文件或者租赁证明文件（复制件）；（四）工商行政管理部门颁发的企业性质营业执照或者企业名称预先核准文件（复制件）；（五）危险化学品事故应急预案备案登记表（复制件）。带有储存设施经营危险化学品的，申请人还应当提交下列文件、资料：（一）储存设施相关证明文件（复制件）；租赁储存设施的，需要提交租赁证明文件（复制件）；储存设施新建、改建、扩建的，需要提交危险化学品建设项目安全设施竣工验收报告；（二）重大危险源备案证明材料、专职安全生产管理人员的学历证书、技术职称证书或者危险物品安全类注册安全工程师资格证书（复制件）；（三）安全评价报告。</w:t>
      </w: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default"/>
          <w:lang w:val="en-US" w:eastAsia="zh-CN"/>
        </w:rPr>
      </w:pPr>
      <w:r>
        <w:rPr>
          <w:rFonts w:hint="eastAsia"/>
          <w:szCs w:val="22"/>
          <w:lang w:val="en-US" w:eastAsia="zh-CN"/>
        </w:rPr>
        <w:t>四、办理程序</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eastAsia"/>
          <w:szCs w:val="22"/>
          <w:lang w:val="en-US" w:eastAsia="zh-CN"/>
        </w:rPr>
      </w:pPr>
      <w:r>
        <w:rPr>
          <w:rFonts w:hint="eastAsia"/>
          <w:szCs w:val="22"/>
          <w:lang w:val="en-US" w:eastAsia="zh-CN"/>
        </w:rPr>
        <w:t xml:space="preserve">1.申请人向应急管理局窗口提出申请，提交申请材料。 </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eastAsia"/>
          <w:szCs w:val="22"/>
          <w:lang w:val="en-US" w:eastAsia="zh-CN"/>
        </w:rPr>
      </w:pPr>
      <w:r>
        <w:rPr>
          <w:rFonts w:hint="eastAsia"/>
          <w:szCs w:val="22"/>
          <w:lang w:val="en-US" w:eastAsia="zh-CN"/>
        </w:rPr>
        <w:t>2.受理人员收到申请人的申请材料后，根据申请材料进行审核，审核无误后予以当场正式受理。对材料不符合的，当场一次性告知申请人补正材料。</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eastAsia"/>
          <w:szCs w:val="22"/>
          <w:lang w:val="en-US" w:eastAsia="zh-CN"/>
        </w:rPr>
      </w:pPr>
      <w:r>
        <w:rPr>
          <w:rFonts w:hint="eastAsia"/>
          <w:szCs w:val="22"/>
          <w:lang w:val="en-US" w:eastAsia="zh-CN"/>
        </w:rPr>
        <w:t xml:space="preserve">3.业务处室承办人在受理后对材料进行审核并进行现场核查。 </w:t>
      </w:r>
    </w:p>
    <w:p>
      <w:pPr>
        <w:pageBreakBefore w:val="0"/>
        <w:widowControl/>
        <w:kinsoku w:val="0"/>
        <w:wordWrap/>
        <w:overflowPunct/>
        <w:topLinePunct w:val="0"/>
        <w:autoSpaceDE w:val="0"/>
        <w:autoSpaceDN w:val="0"/>
        <w:bidi w:val="0"/>
        <w:adjustRightInd w:val="0"/>
        <w:snapToGrid w:val="0"/>
        <w:spacing w:line="480" w:lineRule="exact"/>
        <w:textAlignment w:val="baseline"/>
        <w:rPr>
          <w:rFonts w:hint="eastAsia"/>
          <w:b w:val="0"/>
          <w:bCs w:val="0"/>
          <w:lang w:eastAsia="zh-CN"/>
        </w:rPr>
      </w:pPr>
      <w:r>
        <w:rPr>
          <w:rFonts w:hint="eastAsia"/>
          <w:szCs w:val="22"/>
          <w:lang w:val="en-US" w:eastAsia="zh-CN"/>
        </w:rPr>
        <w:t>4.对于符合审批条件的，出具批准许可决定，加盖实施机关印章，发放</w:t>
      </w:r>
      <w:r>
        <w:rPr>
          <w:b w:val="0"/>
          <w:bCs w:val="0"/>
        </w:rPr>
        <w:t>危险化学品经营许可</w:t>
      </w:r>
      <w:r>
        <w:rPr>
          <w:rFonts w:hint="eastAsia"/>
          <w:b w:val="0"/>
          <w:bCs w:val="0"/>
          <w:lang w:val="en-US" w:eastAsia="zh-CN"/>
        </w:rPr>
        <w:t>证</w:t>
      </w:r>
      <w:r>
        <w:rPr>
          <w:rFonts w:hint="eastAsia"/>
          <w:b w:val="0"/>
          <w:bCs w:val="0"/>
          <w:lang w:eastAsia="zh-CN"/>
        </w:rPr>
        <w:t>。</w:t>
      </w: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default"/>
          <w:szCs w:val="22"/>
          <w:lang w:val="en-US" w:eastAsia="zh-CN"/>
        </w:rPr>
      </w:pPr>
      <w:r>
        <w:rPr>
          <w:rFonts w:hint="eastAsia"/>
          <w:szCs w:val="22"/>
          <w:lang w:val="en-US" w:eastAsia="zh-CN"/>
        </w:rPr>
        <w:t>五、办理结果</w:t>
      </w:r>
    </w:p>
    <w:p>
      <w:pPr>
        <w:pageBreakBefore w:val="0"/>
        <w:widowControl/>
        <w:kinsoku w:val="0"/>
        <w:wordWrap/>
        <w:overflowPunct/>
        <w:topLinePunct w:val="0"/>
        <w:autoSpaceDE w:val="0"/>
        <w:autoSpaceDN w:val="0"/>
        <w:bidi w:val="0"/>
        <w:adjustRightInd w:val="0"/>
        <w:snapToGrid w:val="0"/>
        <w:spacing w:line="480" w:lineRule="exact"/>
        <w:ind w:left="0" w:leftChars="0" w:firstLine="640" w:firstLineChars="200"/>
        <w:jc w:val="left"/>
        <w:textAlignment w:val="baseline"/>
        <w:rPr>
          <w:rFonts w:hint="eastAsia"/>
          <w:b w:val="0"/>
          <w:bCs w:val="0"/>
          <w:lang w:eastAsia="zh-CN"/>
        </w:rPr>
      </w:pPr>
      <w:r>
        <w:rPr>
          <w:rFonts w:hint="eastAsia"/>
          <w:szCs w:val="22"/>
          <w:lang w:val="en-US" w:eastAsia="zh-CN"/>
        </w:rPr>
        <w:t>1、符合审批条件，同意办理发放</w:t>
      </w:r>
      <w:r>
        <w:rPr>
          <w:b w:val="0"/>
          <w:bCs w:val="0"/>
        </w:rPr>
        <w:t>危险化学品经营许可</w:t>
      </w:r>
      <w:r>
        <w:rPr>
          <w:rFonts w:hint="eastAsia"/>
          <w:b w:val="0"/>
          <w:bCs w:val="0"/>
          <w:lang w:val="en-US" w:eastAsia="zh-CN"/>
        </w:rPr>
        <w:t>证</w:t>
      </w:r>
      <w:r>
        <w:rPr>
          <w:rFonts w:hint="eastAsia"/>
          <w:b w:val="0"/>
          <w:bCs w:val="0"/>
          <w:lang w:eastAsia="zh-CN"/>
        </w:rPr>
        <w:t>。</w:t>
      </w: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default"/>
          <w:b w:val="0"/>
          <w:bCs w:val="0"/>
          <w:lang w:val="en-US" w:eastAsia="zh-CN"/>
        </w:rPr>
      </w:pPr>
      <w:r>
        <w:rPr>
          <w:rFonts w:hint="eastAsia"/>
          <w:b w:val="0"/>
          <w:bCs w:val="0"/>
          <w:lang w:val="en-US" w:eastAsia="zh-CN"/>
        </w:rPr>
        <w:t>2、不</w:t>
      </w:r>
      <w:r>
        <w:rPr>
          <w:rFonts w:hint="eastAsia" w:ascii="Times New Roman" w:hAnsi="Times New Roman" w:eastAsia="仿宋_GB2312" w:cstheme="minorBidi"/>
          <w:b w:val="0"/>
          <w:snapToGrid w:val="0"/>
          <w:color w:val="000000"/>
          <w:sz w:val="32"/>
          <w:szCs w:val="22"/>
          <w:lang w:val="en-US" w:eastAsia="zh-CN"/>
        </w:rPr>
        <w:t>符合审批条件</w:t>
      </w:r>
      <w:r>
        <w:rPr>
          <w:rFonts w:hint="eastAsia" w:eastAsia="仿宋_GB2312" w:cstheme="minorBidi"/>
          <w:b w:val="0"/>
          <w:snapToGrid w:val="0"/>
          <w:color w:val="000000"/>
          <w:sz w:val="32"/>
          <w:szCs w:val="22"/>
          <w:lang w:val="en-US" w:eastAsia="zh-CN"/>
        </w:rPr>
        <w:t>，不予办理。</w:t>
      </w:r>
    </w:p>
    <w:p>
      <w:pPr>
        <w:pageBreakBefore w:val="0"/>
        <w:widowControl/>
        <w:kinsoku w:val="0"/>
        <w:wordWrap/>
        <w:overflowPunct/>
        <w:topLinePunct w:val="0"/>
        <w:autoSpaceDE w:val="0"/>
        <w:autoSpaceDN w:val="0"/>
        <w:bidi w:val="0"/>
        <w:adjustRightInd w:val="0"/>
        <w:snapToGrid w:val="0"/>
        <w:spacing w:line="480" w:lineRule="exact"/>
        <w:textAlignment w:val="baseline"/>
        <w:rPr>
          <w:rFonts w:hint="eastAsia"/>
          <w:b w:val="0"/>
          <w:bCs w:val="0"/>
          <w:lang w:eastAsia="zh-CN"/>
        </w:rPr>
      </w:pP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eastAsia"/>
          <w:b w:val="0"/>
          <w:bCs w:val="0"/>
          <w:lang w:eastAsia="zh-CN"/>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hint="eastAsia"/>
          <w:b w:val="0"/>
          <w:bCs w:val="0"/>
          <w:lang w:eastAsia="zh-CN"/>
        </w:rPr>
      </w:pPr>
    </w:p>
    <w:p>
      <w:pPr>
        <w:pStyle w:val="2"/>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eastAsia"/>
          <w:b w:val="0"/>
          <w:bCs w:val="0"/>
          <w:lang w:eastAsia="zh-CN"/>
        </w:rPr>
      </w:pPr>
    </w:p>
    <w:p>
      <w:pPr>
        <w:pageBreakBefore w:val="0"/>
        <w:widowControl/>
        <w:kinsoku w:val="0"/>
        <w:wordWrap/>
        <w:overflowPunct/>
        <w:topLinePunct w:val="0"/>
        <w:autoSpaceDE w:val="0"/>
        <w:autoSpaceDN w:val="0"/>
        <w:bidi w:val="0"/>
        <w:adjustRightInd w:val="0"/>
        <w:snapToGrid w:val="0"/>
        <w:spacing w:line="480" w:lineRule="exact"/>
        <w:ind w:firstLine="1285" w:firstLineChars="400"/>
        <w:textAlignment w:val="baseline"/>
        <w:rPr>
          <w:b/>
          <w:bCs/>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480" w:lineRule="exact"/>
        <w:ind w:firstLine="2529" w:firstLineChars="70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540" w:lineRule="exact"/>
        <w:ind w:left="0" w:leftChars="0" w:firstLine="0" w:firstLineChars="0"/>
        <w:textAlignment w:val="baseline"/>
        <w:rPr>
          <w:b/>
          <w:bCs/>
          <w:sz w:val="36"/>
          <w:szCs w:val="36"/>
        </w:rPr>
      </w:pPr>
    </w:p>
    <w:p>
      <w:pPr>
        <w:pageBreakBefore w:val="0"/>
        <w:widowControl/>
        <w:kinsoku w:val="0"/>
        <w:wordWrap/>
        <w:overflowPunct/>
        <w:topLinePunct w:val="0"/>
        <w:autoSpaceDE w:val="0"/>
        <w:autoSpaceDN w:val="0"/>
        <w:bidi w:val="0"/>
        <w:adjustRightInd w:val="0"/>
        <w:snapToGrid w:val="0"/>
        <w:spacing w:line="540" w:lineRule="exact"/>
        <w:ind w:firstLine="1807" w:firstLineChars="500"/>
        <w:textAlignment w:val="baseline"/>
        <w:rPr>
          <w:b/>
          <w:bCs/>
          <w:sz w:val="36"/>
          <w:szCs w:val="36"/>
        </w:rPr>
      </w:pPr>
      <w:r>
        <w:rPr>
          <w:b/>
          <w:bCs/>
          <w:sz w:val="36"/>
          <w:szCs w:val="36"/>
        </w:rPr>
        <w:t>烟花爆竹经营（零售）许可</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default" w:eastAsia="楷体_GB2312"/>
          <w:lang w:val="en-US" w:eastAsia="zh-CN"/>
        </w:rPr>
      </w:pPr>
      <w:r>
        <w:rPr>
          <w:rFonts w:hint="eastAsia"/>
          <w:b/>
          <w:bCs/>
          <w:lang w:val="en-US" w:eastAsia="zh-CN"/>
        </w:rPr>
        <w:t>一、依据</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ascii="Times New Roman" w:hAnsi="Times New Roman" w:eastAsia="仿宋_GB2312" w:cstheme="minorBidi"/>
          <w:b w:val="0"/>
          <w:snapToGrid w:val="0"/>
          <w:color w:val="000000"/>
          <w:sz w:val="32"/>
          <w:szCs w:val="22"/>
          <w:lang w:val="en-US" w:eastAsia="zh-CN"/>
        </w:rPr>
      </w:pPr>
      <w:r>
        <w:rPr>
          <w:rFonts w:hint="eastAsia" w:ascii="Times New Roman" w:hAnsi="Times New Roman" w:eastAsia="仿宋_GB2312" w:cstheme="minorBidi"/>
          <w:b w:val="0"/>
          <w:snapToGrid w:val="0"/>
          <w:color w:val="000000"/>
          <w:sz w:val="32"/>
          <w:szCs w:val="22"/>
          <w:lang w:val="en-US" w:eastAsia="zh-CN"/>
        </w:rPr>
        <w:t>《烟花爆竹安全管理条例》（2006年1月21日国务院令第455号公布，自公布之日起施行。根据2016年2月6日国务院令第666号修正） 第十六条：烟花爆竹的经营分为批发和零售。从事烟花爆竹批发的企业和零售经营者的经营布点，应当经安全生产监督管理部门审批。</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ascii="Times New Roman" w:hAnsi="Times New Roman" w:eastAsia="仿宋_GB2312" w:cstheme="minorBidi"/>
          <w:b w:val="0"/>
          <w:snapToGrid w:val="0"/>
          <w:color w:val="000000"/>
          <w:sz w:val="32"/>
          <w:szCs w:val="22"/>
          <w:lang w:val="en-US" w:eastAsia="zh-CN"/>
        </w:rPr>
      </w:pPr>
      <w:r>
        <w:rPr>
          <w:rFonts w:hint="eastAsia" w:ascii="Times New Roman" w:hAnsi="Times New Roman" w:eastAsia="仿宋_GB2312" w:cstheme="minorBidi"/>
          <w:b w:val="0"/>
          <w:snapToGrid w:val="0"/>
          <w:color w:val="000000"/>
          <w:sz w:val="32"/>
          <w:szCs w:val="22"/>
          <w:lang w:val="en-US" w:eastAsia="zh-CN"/>
        </w:rPr>
        <w:t>第十九条：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零售）许可证》，应当载明经营负责人、经营场所地址、经营期限、烟花爆竹种类和限制存</w:t>
      </w:r>
    </w:p>
    <w:p>
      <w:pPr>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楷体_GB2312" w:cstheme="minorBidi"/>
          <w:b/>
          <w:bCs/>
          <w:snapToGrid w:val="0"/>
          <w:color w:val="000000"/>
          <w:sz w:val="32"/>
          <w:szCs w:val="22"/>
          <w:lang w:val="en-US" w:eastAsia="zh-CN"/>
        </w:rPr>
      </w:pPr>
      <w:r>
        <w:rPr>
          <w:rFonts w:hint="eastAsia" w:ascii="Times New Roman" w:hAnsi="Times New Roman" w:eastAsia="楷体_GB2312" w:cstheme="minorBidi"/>
          <w:b/>
          <w:bCs/>
          <w:snapToGrid w:val="0"/>
          <w:color w:val="000000"/>
          <w:sz w:val="32"/>
          <w:szCs w:val="22"/>
          <w:lang w:val="en-US" w:eastAsia="zh-CN"/>
        </w:rPr>
        <w:t>二、行政许可依据</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default" w:ascii="Times New Roman" w:hAnsi="Times New Roman" w:eastAsia="仿宋_GB2312" w:cstheme="minorBidi"/>
          <w:snapToGrid w:val="0"/>
          <w:color w:val="000000"/>
          <w:sz w:val="32"/>
        </w:rPr>
      </w:pPr>
      <w:r>
        <w:rPr>
          <w:rFonts w:hint="default" w:ascii="Times New Roman" w:hAnsi="Times New Roman" w:eastAsia="仿宋_GB2312" w:cstheme="minorBidi"/>
          <w:snapToGrid w:val="0"/>
          <w:color w:val="000000"/>
          <w:sz w:val="32"/>
        </w:rPr>
        <w:t>《烟花爆竹经营许可实施办法》（2013年10月16日原国家安全监管总局令第65号公布，自2013年12月1日起施行）</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default" w:ascii="Times New Roman" w:hAnsi="Times New Roman" w:eastAsia="仿宋_GB2312" w:cstheme="minorBidi"/>
          <w:snapToGrid w:val="0"/>
          <w:color w:val="000000"/>
          <w:sz w:val="32"/>
        </w:rPr>
      </w:pPr>
      <w:r>
        <w:rPr>
          <w:rFonts w:hint="default" w:ascii="Times New Roman" w:hAnsi="Times New Roman" w:eastAsia="仿宋_GB2312" w:cstheme="minorBidi"/>
          <w:snapToGrid w:val="0"/>
          <w:color w:val="000000"/>
          <w:sz w:val="32"/>
        </w:rPr>
        <w:t>第五条：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szCs w:val="22"/>
          <w:lang w:val="en-US" w:eastAsia="zh-CN"/>
        </w:rPr>
      </w:pPr>
      <w:r>
        <w:rPr>
          <w:rFonts w:hint="eastAsia"/>
          <w:szCs w:val="22"/>
          <w:lang w:val="en-US" w:eastAsia="zh-CN"/>
        </w:rPr>
        <w:t>三、申请条件</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rPr>
      </w:pPr>
      <w:r>
        <w:rPr>
          <w:rFonts w:hint="eastAsia" w:ascii="Times New Roman" w:hAnsi="Times New Roman" w:eastAsia="仿宋_GB2312" w:cstheme="minorBidi"/>
          <w:snapToGrid w:val="0"/>
          <w:color w:val="000000"/>
          <w:sz w:val="32"/>
          <w:szCs w:val="22"/>
        </w:rPr>
        <w:t>零售经营者应当符合下列条件：（一）符合所在地县级安全监管局制定的零售经营布点规划； （二）主要负责人经过安全培训合格，销售人员经过安全知识教育；（三）春节期间零售点、城市长期零售点实行专店销售。乡村长期零售点在淡季实行专柜销售时，安排专人销售，专柜相对独立，并与其他柜台保持一定的距离，保证安全通道畅通；（四）零售场所的面积不小于10平方米，其周边50米范围内没有其他烟花爆竹零售点，并与学校、幼儿园、医院、集贸市场等人员密集场所和加油站等易燃易爆物品生产、储存设施等重点建筑物保持100米以上的安全距离；（五）零售场所配备必要的消防器材，张贴明显的安全警示标志；（六）法律、法规规定的其他条件。</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szCs w:val="22"/>
          <w:lang w:val="en-US" w:eastAsia="zh-CN"/>
        </w:rPr>
      </w:pPr>
      <w:r>
        <w:rPr>
          <w:rFonts w:hint="eastAsia"/>
          <w:szCs w:val="22"/>
          <w:lang w:val="en-US" w:eastAsia="zh-CN"/>
        </w:rPr>
        <w:t>四、办理程序</w:t>
      </w:r>
    </w:p>
    <w:p>
      <w:pPr>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left"/>
        <w:textAlignment w:val="baseline"/>
        <w:rPr>
          <w:rFonts w:hint="eastAsia"/>
          <w:szCs w:val="22"/>
          <w:lang w:val="en-US" w:eastAsia="zh-CN"/>
        </w:rPr>
      </w:pPr>
      <w:r>
        <w:rPr>
          <w:rFonts w:hint="eastAsia"/>
          <w:szCs w:val="22"/>
          <w:lang w:val="en-US" w:eastAsia="zh-CN"/>
        </w:rPr>
        <w:t xml:space="preserve">1.申请人向应急管理局窗口提出申请，提交申请材料。 </w:t>
      </w:r>
    </w:p>
    <w:p>
      <w:pPr>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left"/>
        <w:textAlignment w:val="baseline"/>
        <w:rPr>
          <w:rFonts w:hint="eastAsia"/>
          <w:szCs w:val="22"/>
          <w:lang w:val="en-US" w:eastAsia="zh-CN"/>
        </w:rPr>
      </w:pPr>
      <w:r>
        <w:rPr>
          <w:rFonts w:hint="eastAsia"/>
          <w:szCs w:val="22"/>
          <w:lang w:val="en-US" w:eastAsia="zh-CN"/>
        </w:rPr>
        <w:t>2.受理人员收到申请人的申请材料后，根据申请材料进行审核，审核无误后予以当场正式受理。对材料不符合的，当场一次性告知申请人补正材料。</w:t>
      </w:r>
    </w:p>
    <w:p>
      <w:pPr>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left"/>
        <w:textAlignment w:val="baseline"/>
        <w:rPr>
          <w:rFonts w:hint="eastAsia"/>
          <w:szCs w:val="22"/>
          <w:lang w:val="en-US" w:eastAsia="zh-CN"/>
        </w:rPr>
      </w:pPr>
      <w:r>
        <w:rPr>
          <w:rFonts w:hint="eastAsia"/>
          <w:szCs w:val="22"/>
          <w:lang w:val="en-US" w:eastAsia="zh-CN"/>
        </w:rPr>
        <w:t xml:space="preserve">3.业务科室承办人在受理后对材料进行审核并进行现场核查。 </w:t>
      </w:r>
    </w:p>
    <w:p>
      <w:pPr>
        <w:pageBreakBefore w:val="0"/>
        <w:widowControl/>
        <w:kinsoku w:val="0"/>
        <w:wordWrap/>
        <w:overflowPunct/>
        <w:topLinePunct w:val="0"/>
        <w:autoSpaceDE w:val="0"/>
        <w:autoSpaceDN w:val="0"/>
        <w:bidi w:val="0"/>
        <w:adjustRightInd w:val="0"/>
        <w:snapToGrid w:val="0"/>
        <w:spacing w:line="540" w:lineRule="exact"/>
        <w:textAlignment w:val="baseline"/>
        <w:rPr>
          <w:rFonts w:hint="eastAsia"/>
          <w:b w:val="0"/>
          <w:bCs w:val="0"/>
          <w:lang w:eastAsia="zh-CN"/>
        </w:rPr>
      </w:pPr>
      <w:r>
        <w:rPr>
          <w:rFonts w:hint="eastAsia"/>
          <w:szCs w:val="22"/>
          <w:lang w:val="en-US" w:eastAsia="zh-CN"/>
        </w:rPr>
        <w:t>4.对于符合审批条件的，出具批准许可决定，加盖实施机关印章，发放</w:t>
      </w:r>
      <w:r>
        <w:rPr>
          <w:rFonts w:hint="eastAsia" w:ascii="Times New Roman" w:hAnsi="Times New Roman" w:eastAsia="仿宋_GB2312" w:cstheme="minorBidi"/>
          <w:b w:val="0"/>
          <w:snapToGrid w:val="0"/>
          <w:color w:val="000000"/>
          <w:sz w:val="32"/>
          <w:szCs w:val="22"/>
          <w:lang w:val="en-US" w:eastAsia="zh-CN"/>
        </w:rPr>
        <w:t>烟花爆竹经营（零售）许可证</w:t>
      </w:r>
      <w:r>
        <w:rPr>
          <w:rFonts w:hint="eastAsia"/>
          <w:b w:val="0"/>
          <w:bCs w:val="0"/>
          <w:lang w:eastAsia="zh-CN"/>
        </w:rPr>
        <w:t>。</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default"/>
          <w:szCs w:val="22"/>
          <w:lang w:val="en-US" w:eastAsia="zh-CN"/>
        </w:rPr>
      </w:pPr>
      <w:r>
        <w:rPr>
          <w:rFonts w:hint="eastAsia"/>
          <w:szCs w:val="22"/>
          <w:lang w:val="en-US" w:eastAsia="zh-CN"/>
        </w:rPr>
        <w:t>五、办理结果</w:t>
      </w:r>
    </w:p>
    <w:p>
      <w:pPr>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left"/>
        <w:textAlignment w:val="baseline"/>
        <w:rPr>
          <w:rFonts w:hint="eastAsia"/>
          <w:b w:val="0"/>
          <w:bCs w:val="0"/>
          <w:lang w:eastAsia="zh-CN"/>
        </w:rPr>
      </w:pPr>
      <w:r>
        <w:rPr>
          <w:rFonts w:hint="eastAsia"/>
          <w:szCs w:val="22"/>
          <w:lang w:val="en-US" w:eastAsia="zh-CN"/>
        </w:rPr>
        <w:t>1、符合审批条件，同意办理发放发放</w:t>
      </w:r>
      <w:r>
        <w:rPr>
          <w:rFonts w:hint="eastAsia" w:ascii="Times New Roman" w:hAnsi="Times New Roman" w:eastAsia="仿宋_GB2312" w:cstheme="minorBidi"/>
          <w:b w:val="0"/>
          <w:snapToGrid w:val="0"/>
          <w:color w:val="000000"/>
          <w:sz w:val="32"/>
          <w:szCs w:val="22"/>
          <w:lang w:val="en-US" w:eastAsia="zh-CN"/>
        </w:rPr>
        <w:t>烟花爆竹经营（零售）许可证</w:t>
      </w:r>
      <w:r>
        <w:rPr>
          <w:rFonts w:hint="eastAsia" w:cstheme="minorBidi"/>
          <w:b w:val="0"/>
          <w:snapToGrid w:val="0"/>
          <w:color w:val="000000"/>
          <w:sz w:val="32"/>
          <w:szCs w:val="22"/>
          <w:lang w:val="en-US" w:eastAsia="zh-CN"/>
        </w:rPr>
        <w:t>。</w:t>
      </w:r>
    </w:p>
    <w:p>
      <w:pPr>
        <w:pStyle w:val="2"/>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default"/>
          <w:b w:val="0"/>
          <w:bCs w:val="0"/>
          <w:lang w:val="en-US" w:eastAsia="zh-CN"/>
        </w:rPr>
      </w:pPr>
      <w:r>
        <w:rPr>
          <w:rFonts w:hint="eastAsia"/>
          <w:b w:val="0"/>
          <w:bCs w:val="0"/>
          <w:lang w:val="en-US" w:eastAsia="zh-CN"/>
        </w:rPr>
        <w:t>2、不</w:t>
      </w:r>
      <w:r>
        <w:rPr>
          <w:rFonts w:hint="eastAsia" w:ascii="Times New Roman" w:hAnsi="Times New Roman" w:eastAsia="仿宋_GB2312" w:cstheme="minorBidi"/>
          <w:b w:val="0"/>
          <w:snapToGrid w:val="0"/>
          <w:color w:val="000000"/>
          <w:sz w:val="32"/>
          <w:szCs w:val="22"/>
          <w:lang w:val="en-US" w:eastAsia="zh-CN"/>
        </w:rPr>
        <w:t>符合审批条件</w:t>
      </w:r>
      <w:r>
        <w:rPr>
          <w:rFonts w:hint="eastAsia" w:eastAsia="仿宋_GB2312" w:cstheme="minorBidi"/>
          <w:b w:val="0"/>
          <w:snapToGrid w:val="0"/>
          <w:color w:val="000000"/>
          <w:sz w:val="32"/>
          <w:szCs w:val="22"/>
          <w:lang w:val="en-US" w:eastAsia="zh-CN"/>
        </w:rPr>
        <w:t>，不予许可。</w:t>
      </w:r>
    </w:p>
    <w:p>
      <w:pPr>
        <w:pageBreakBefore w:val="0"/>
        <w:widowControl/>
        <w:kinsoku w:val="0"/>
        <w:wordWrap/>
        <w:overflowPunct/>
        <w:topLinePunct w:val="0"/>
        <w:autoSpaceDE w:val="0"/>
        <w:autoSpaceDN w:val="0"/>
        <w:bidi w:val="0"/>
        <w:adjustRightInd w:val="0"/>
        <w:snapToGrid w:val="0"/>
        <w:spacing w:line="540" w:lineRule="exact"/>
        <w:ind w:left="0" w:leftChars="0" w:firstLine="0" w:firstLineChars="0"/>
        <w:textAlignment w:val="baseline"/>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jc w:val="center"/>
        <w:rPr>
          <w:rFonts w:hint="default" w:ascii="仿宋" w:hAnsi="仿宋" w:eastAsia="仿宋" w:cs="仿宋"/>
          <w:b/>
          <w:bCs/>
          <w:sz w:val="32"/>
          <w:szCs w:val="32"/>
          <w:lang w:val="en-US" w:eastAsia="zh-CN"/>
        </w:rPr>
      </w:pPr>
      <w:r>
        <w:rPr>
          <w:rFonts w:hint="eastAsia" w:ascii="仿宋" w:hAnsi="仿宋" w:eastAsia="仿宋" w:cs="仿宋"/>
          <w:b/>
          <w:bCs/>
          <w:sz w:val="44"/>
          <w:szCs w:val="44"/>
          <w:lang w:val="en-US" w:eastAsia="zh-CN"/>
        </w:rPr>
        <w:t>居民住房恢复重建补助审批流程</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ascii="Times New Roman" w:hAnsi="Times New Roman" w:eastAsia="仿宋_GB2312" w:cstheme="minorBidi"/>
          <w:snapToGrid w:val="0"/>
          <w:color w:val="000000"/>
          <w:sz w:val="32"/>
          <w:szCs w:val="22"/>
          <w:lang w:val="en-US" w:eastAsia="zh-CN"/>
        </w:rPr>
        <w:t>受灾地区</w:t>
      </w:r>
      <w:r>
        <w:rPr>
          <w:rFonts w:hint="eastAsia" w:ascii="Times New Roman" w:hAnsi="Times New Roman" w:eastAsia="仿宋_GB2312" w:cstheme="minorBidi"/>
          <w:snapToGrid w:val="0"/>
          <w:color w:val="000000"/>
          <w:sz w:val="32"/>
          <w:szCs w:val="22"/>
        </w:rPr>
        <w:t>居民住房恢复重建</w:t>
      </w:r>
      <w:r>
        <w:rPr>
          <w:rFonts w:hint="eastAsia" w:ascii="Times New Roman" w:hAnsi="Times New Roman" w:eastAsia="仿宋_GB2312" w:cstheme="minorBidi"/>
          <w:snapToGrid w:val="0"/>
          <w:color w:val="000000"/>
          <w:sz w:val="32"/>
          <w:szCs w:val="22"/>
          <w:lang w:val="en-US" w:eastAsia="zh-CN"/>
        </w:rPr>
        <w:t>有助于提高国家和地方政府的应急救助能力和水平，为灾区灾后重建和发展提供有力保障，政府部门</w:t>
      </w:r>
      <w:r>
        <w:rPr>
          <w:rFonts w:hint="eastAsia" w:ascii="Times New Roman" w:hAnsi="Times New Roman" w:eastAsia="仿宋_GB2312" w:cstheme="minorBidi"/>
          <w:snapToGrid w:val="0"/>
          <w:color w:val="000000"/>
          <w:sz w:val="32"/>
          <w:szCs w:val="22"/>
        </w:rPr>
        <w:t>应当因地制宜、</w:t>
      </w:r>
      <w:r>
        <w:rPr>
          <w:rFonts w:hint="eastAsia" w:ascii="Times New Roman" w:hAnsi="Times New Roman" w:eastAsia="仿宋_GB2312" w:cstheme="minorBidi"/>
          <w:snapToGrid w:val="0"/>
          <w:color w:val="000000"/>
          <w:sz w:val="32"/>
          <w:szCs w:val="22"/>
          <w:lang w:val="en-US" w:eastAsia="zh-CN"/>
        </w:rPr>
        <w:t>确保受灾群众恢复重建工作高效、</w:t>
      </w:r>
      <w:r>
        <w:rPr>
          <w:rFonts w:hint="eastAsia" w:ascii="Times New Roman" w:hAnsi="Times New Roman" w:eastAsia="仿宋_GB2312" w:cstheme="minorBidi"/>
          <w:snapToGrid w:val="0"/>
          <w:color w:val="000000"/>
          <w:sz w:val="32"/>
          <w:szCs w:val="22"/>
        </w:rPr>
        <w:t>经济实用，确保房屋建设质量符合防灾减灾</w:t>
      </w:r>
      <w:r>
        <w:rPr>
          <w:rFonts w:hint="eastAsia" w:ascii="Times New Roman" w:hAnsi="Times New Roman" w:eastAsia="仿宋_GB2312" w:cstheme="minorBidi"/>
          <w:snapToGrid w:val="0"/>
          <w:color w:val="000000"/>
          <w:sz w:val="32"/>
          <w:szCs w:val="22"/>
          <w:lang w:val="en-US" w:eastAsia="zh-CN"/>
        </w:rPr>
        <w:t>要求</w:t>
      </w:r>
      <w:r>
        <w:rPr>
          <w:rFonts w:hint="eastAsia" w:ascii="Times New Roman" w:hAnsi="Times New Roman" w:eastAsia="仿宋_GB2312" w:cstheme="minorBidi"/>
          <w:snapToGrid w:val="0"/>
          <w:color w:val="000000"/>
          <w:sz w:val="32"/>
          <w:szCs w:val="22"/>
          <w:lang w:eastAsia="zh-CN"/>
        </w:rPr>
        <w:t>。</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楷体_GB2312" w:cstheme="minorBidi"/>
          <w:b/>
          <w:snapToGrid w:val="0"/>
          <w:color w:val="000000"/>
          <w:sz w:val="32"/>
          <w:szCs w:val="22"/>
          <w:lang w:val="en-US" w:eastAsia="zh-CN"/>
        </w:rPr>
      </w:pPr>
      <w:r>
        <w:rPr>
          <w:rFonts w:hint="eastAsia" w:ascii="Times New Roman" w:hAnsi="Times New Roman" w:eastAsia="楷体_GB2312" w:cstheme="minorBidi"/>
          <w:b/>
          <w:snapToGrid w:val="0"/>
          <w:color w:val="000000"/>
          <w:sz w:val="32"/>
          <w:szCs w:val="22"/>
          <w:lang w:val="en-US" w:eastAsia="zh-CN"/>
        </w:rPr>
        <w:t>一、依据</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ascii="Times New Roman" w:hAnsi="Times New Roman" w:eastAsia="仿宋_GB2312" w:cstheme="minorBidi"/>
          <w:snapToGrid w:val="0"/>
          <w:color w:val="000000"/>
          <w:sz w:val="32"/>
          <w:szCs w:val="22"/>
        </w:rPr>
        <w:t>《自然灾害救助条例》（2010年国务院令第577号，2019年修订）</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rPr>
      </w:pPr>
      <w:r>
        <w:rPr>
          <w:rFonts w:hint="eastAsia" w:ascii="Times New Roman" w:hAnsi="Times New Roman" w:eastAsia="仿宋_GB2312" w:cstheme="minorBidi"/>
          <w:snapToGrid w:val="0"/>
          <w:color w:val="000000"/>
          <w:sz w:val="32"/>
          <w:szCs w:val="22"/>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ascii="Times New Roman" w:hAnsi="Times New Roman" w:eastAsia="仿宋_GB2312" w:cstheme="minorBidi"/>
          <w:snapToGrid w:val="0"/>
          <w:color w:val="000000"/>
          <w:sz w:val="32"/>
          <w:szCs w:val="22"/>
        </w:rPr>
        <w:t>《</w:t>
      </w:r>
      <w:r>
        <w:rPr>
          <w:rFonts w:hint="eastAsia" w:cstheme="minorBidi"/>
          <w:snapToGrid w:val="0"/>
          <w:color w:val="000000"/>
          <w:sz w:val="32"/>
          <w:szCs w:val="22"/>
          <w:lang w:eastAsia="zh-CN"/>
        </w:rPr>
        <w:t>新疆维吾尔</w:t>
      </w:r>
      <w:r>
        <w:rPr>
          <w:rFonts w:hint="eastAsia" w:ascii="Times New Roman" w:hAnsi="Times New Roman" w:eastAsia="仿宋_GB2312" w:cstheme="minorBidi"/>
          <w:snapToGrid w:val="0"/>
          <w:color w:val="000000"/>
          <w:sz w:val="32"/>
          <w:szCs w:val="22"/>
          <w:lang w:val="en-US" w:eastAsia="zh-CN"/>
        </w:rPr>
        <w:t>自治区实施&lt;</w:t>
      </w:r>
      <w:r>
        <w:rPr>
          <w:rFonts w:hint="eastAsia" w:ascii="Times New Roman" w:hAnsi="Times New Roman" w:eastAsia="仿宋_GB2312" w:cstheme="minorBidi"/>
          <w:snapToGrid w:val="0"/>
          <w:color w:val="000000"/>
          <w:sz w:val="32"/>
          <w:szCs w:val="22"/>
        </w:rPr>
        <w:t>自然灾害救助条例</w:t>
      </w:r>
      <w:r>
        <w:rPr>
          <w:rFonts w:hint="eastAsia" w:ascii="Times New Roman" w:hAnsi="Times New Roman" w:eastAsia="仿宋_GB2312" w:cstheme="minorBidi"/>
          <w:snapToGrid w:val="0"/>
          <w:color w:val="000000"/>
          <w:sz w:val="32"/>
          <w:szCs w:val="22"/>
          <w:lang w:val="en-US" w:eastAsia="zh-CN"/>
        </w:rPr>
        <w:t>&gt;办法</w:t>
      </w:r>
      <w:r>
        <w:rPr>
          <w:rFonts w:hint="eastAsia" w:ascii="Times New Roman" w:hAnsi="Times New Roman" w:eastAsia="仿宋_GB2312" w:cstheme="minorBidi"/>
          <w:snapToGrid w:val="0"/>
          <w:color w:val="000000"/>
          <w:sz w:val="32"/>
          <w:szCs w:val="22"/>
        </w:rPr>
        <w:t>》</w:t>
      </w:r>
      <w:bookmarkStart w:id="0" w:name="_GoBack"/>
      <w:bookmarkEnd w:id="0"/>
      <w:r>
        <w:rPr>
          <w:rFonts w:hint="eastAsia" w:ascii="Times New Roman" w:hAnsi="Times New Roman" w:eastAsia="仿宋_GB2312" w:cstheme="minorBidi"/>
          <w:snapToGrid w:val="0"/>
          <w:color w:val="000000"/>
          <w:sz w:val="32"/>
          <w:szCs w:val="22"/>
          <w:lang w:val="en-US" w:eastAsia="zh-CN"/>
        </w:rPr>
        <w:t>第十九条：居民住房恢复重建补助对象由受灾人员本人申请或者村（居）民小组提名。经村（居）民委员会民主评议，符合救助条件的，在自然村，社区范围内公式七日，无异议或者异议不成立的，由村（居）民委员会在公式结束后，将评议意见和有关材料提交乡镇人民政府、街道办事处审核，报县级人民政府应急管理部门审批，县级人民政府应急管理部门应当自受理有关材料之日起十五日内完成审批工作。经县级人民政府应急管理部门核定的补助对象应当在乡镇、街道和村（居）民委员会所在地张榜公式，公式的内容应当包括：补助对象名单、家庭人口，倒塌房屋结构和面积，新建房屋面积，政策优惠，补助标准，补助金额和恢复重建工作时间要求等。</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楷体_GB2312" w:cstheme="minorBidi"/>
          <w:b/>
          <w:snapToGrid w:val="0"/>
          <w:color w:val="000000"/>
          <w:sz w:val="32"/>
          <w:szCs w:val="22"/>
          <w:lang w:val="en-US" w:eastAsia="zh-CN"/>
        </w:rPr>
      </w:pPr>
      <w:r>
        <w:rPr>
          <w:rFonts w:hint="eastAsia" w:eastAsia="楷体_GB2312" w:cstheme="minorBidi"/>
          <w:b/>
          <w:snapToGrid w:val="0"/>
          <w:color w:val="000000"/>
          <w:sz w:val="32"/>
          <w:szCs w:val="22"/>
          <w:lang w:val="en-US" w:eastAsia="zh-CN"/>
        </w:rPr>
        <w:t>二、</w:t>
      </w:r>
      <w:r>
        <w:rPr>
          <w:rFonts w:hint="eastAsia" w:ascii="Times New Roman" w:hAnsi="Times New Roman" w:eastAsia="楷体_GB2312" w:cstheme="minorBidi"/>
          <w:b/>
          <w:snapToGrid w:val="0"/>
          <w:color w:val="000000"/>
          <w:sz w:val="32"/>
          <w:szCs w:val="22"/>
          <w:lang w:val="en-US" w:eastAsia="zh-CN"/>
        </w:rPr>
        <w:t>申请条件</w:t>
      </w:r>
    </w:p>
    <w:p>
      <w:pPr>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cstheme="minorBidi"/>
          <w:snapToGrid w:val="0"/>
          <w:color w:val="000000"/>
          <w:sz w:val="32"/>
          <w:szCs w:val="22"/>
          <w:lang w:val="en-US" w:eastAsia="zh-CN"/>
        </w:rPr>
      </w:pPr>
      <w:r>
        <w:rPr>
          <w:rFonts w:hint="eastAsia" w:cstheme="minorBidi"/>
          <w:snapToGrid w:val="0"/>
          <w:color w:val="000000"/>
          <w:sz w:val="32"/>
          <w:szCs w:val="22"/>
          <w:lang w:val="en-US" w:eastAsia="zh-CN"/>
        </w:rPr>
        <w:t>补贴对象为</w:t>
      </w:r>
      <w:r>
        <w:rPr>
          <w:rFonts w:hint="eastAsia" w:ascii="Times New Roman" w:hAnsi="Times New Roman" w:eastAsia="仿宋_GB2312" w:cstheme="minorBidi"/>
          <w:snapToGrid w:val="0"/>
          <w:color w:val="000000"/>
          <w:sz w:val="32"/>
          <w:szCs w:val="22"/>
          <w:lang w:val="en-US" w:eastAsia="zh-CN"/>
        </w:rPr>
        <w:t>受灾地区</w:t>
      </w:r>
      <w:r>
        <w:rPr>
          <w:rFonts w:hint="eastAsia" w:ascii="Times New Roman" w:hAnsi="Times New Roman" w:eastAsia="仿宋_GB2312" w:cstheme="minorBidi"/>
          <w:snapToGrid w:val="0"/>
          <w:color w:val="000000"/>
          <w:sz w:val="32"/>
          <w:szCs w:val="22"/>
        </w:rPr>
        <w:t>居民住房恢复重建</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eastAsia="楷体_GB2312" w:cstheme="minorBidi"/>
          <w:b/>
          <w:snapToGrid w:val="0"/>
          <w:color w:val="000000"/>
          <w:sz w:val="32"/>
          <w:szCs w:val="22"/>
          <w:lang w:val="en-US" w:eastAsia="zh-CN"/>
        </w:rPr>
      </w:pPr>
      <w:r>
        <w:rPr>
          <w:rFonts w:hint="eastAsia" w:eastAsia="楷体_GB2312" w:cstheme="minorBidi"/>
          <w:b/>
          <w:snapToGrid w:val="0"/>
          <w:color w:val="000000"/>
          <w:sz w:val="32"/>
          <w:szCs w:val="22"/>
          <w:lang w:val="en-US" w:eastAsia="zh-CN"/>
        </w:rPr>
        <w:t>三、办理程序</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eastAsia="zh-CN"/>
        </w:rPr>
      </w:pPr>
      <w:r>
        <w:rPr>
          <w:rFonts w:hint="eastAsia" w:cstheme="minorBidi"/>
          <w:snapToGrid w:val="0"/>
          <w:color w:val="000000"/>
          <w:sz w:val="32"/>
          <w:szCs w:val="22"/>
          <w:lang w:val="en-US" w:eastAsia="zh-CN"/>
        </w:rPr>
        <w:t>1.</w:t>
      </w:r>
      <w:r>
        <w:rPr>
          <w:rFonts w:hint="eastAsia" w:ascii="Times New Roman" w:hAnsi="Times New Roman" w:eastAsia="仿宋_GB2312" w:cstheme="minorBidi"/>
          <w:snapToGrid w:val="0"/>
          <w:color w:val="000000"/>
          <w:sz w:val="32"/>
          <w:szCs w:val="22"/>
        </w:rPr>
        <w:t>受灾人员本人申请或者由村民小组、居民小组提名</w:t>
      </w:r>
      <w:r>
        <w:rPr>
          <w:rFonts w:hint="eastAsia" w:ascii="Times New Roman" w:hAnsi="Times New Roman" w:eastAsia="仿宋_GB2312" w:cstheme="minorBidi"/>
          <w:snapToGrid w:val="0"/>
          <w:color w:val="000000"/>
          <w:sz w:val="32"/>
          <w:szCs w:val="22"/>
          <w:lang w:eastAsia="zh-CN"/>
        </w:rPr>
        <w:t>。</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2.</w:t>
      </w:r>
      <w:r>
        <w:rPr>
          <w:rFonts w:hint="eastAsia" w:ascii="Times New Roman" w:hAnsi="Times New Roman" w:eastAsia="仿宋_GB2312" w:cstheme="minorBidi"/>
          <w:snapToGrid w:val="0"/>
          <w:color w:val="000000"/>
          <w:sz w:val="32"/>
          <w:szCs w:val="22"/>
        </w:rPr>
        <w:t>经村民委员会、居民委员会民主评议，符合救助条件的，在自然村、社区范围内公示</w:t>
      </w:r>
      <w:r>
        <w:rPr>
          <w:rFonts w:hint="eastAsia" w:ascii="Times New Roman" w:hAnsi="Times New Roman" w:eastAsia="仿宋_GB2312" w:cstheme="minorBidi"/>
          <w:snapToGrid w:val="0"/>
          <w:color w:val="000000"/>
          <w:sz w:val="32"/>
          <w:szCs w:val="22"/>
          <w:lang w:val="en-US" w:eastAsia="zh-CN"/>
        </w:rPr>
        <w:t>7日</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3.</w:t>
      </w:r>
      <w:r>
        <w:rPr>
          <w:rFonts w:hint="eastAsia" w:ascii="Times New Roman" w:hAnsi="Times New Roman" w:eastAsia="仿宋_GB2312" w:cstheme="minorBidi"/>
          <w:snapToGrid w:val="0"/>
          <w:color w:val="000000"/>
          <w:sz w:val="32"/>
          <w:szCs w:val="22"/>
          <w:lang w:val="en-US" w:eastAsia="zh-CN"/>
        </w:rPr>
        <w:t>公式无异议的由</w:t>
      </w:r>
      <w:r>
        <w:rPr>
          <w:rFonts w:hint="eastAsia" w:ascii="Times New Roman" w:hAnsi="Times New Roman" w:eastAsia="仿宋_GB2312" w:cstheme="minorBidi"/>
          <w:snapToGrid w:val="0"/>
          <w:color w:val="000000"/>
          <w:sz w:val="32"/>
          <w:szCs w:val="22"/>
        </w:rPr>
        <w:t>村民委员会、居民委员会将评议意见和有关材料提交乡镇人民政府、街道办事处审核</w:t>
      </w:r>
      <w:r>
        <w:rPr>
          <w:rFonts w:hint="eastAsia" w:ascii="Times New Roman" w:hAnsi="Times New Roman" w:eastAsia="仿宋_GB2312" w:cstheme="minorBidi"/>
          <w:snapToGrid w:val="0"/>
          <w:color w:val="000000"/>
          <w:sz w:val="32"/>
          <w:szCs w:val="22"/>
          <w:lang w:eastAsia="zh-CN"/>
        </w:rPr>
        <w:t>。</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4.</w:t>
      </w:r>
      <w:r>
        <w:rPr>
          <w:rFonts w:hint="eastAsia" w:ascii="Times New Roman" w:hAnsi="Times New Roman" w:eastAsia="仿宋_GB2312" w:cstheme="minorBidi"/>
          <w:snapToGrid w:val="0"/>
          <w:color w:val="000000"/>
          <w:sz w:val="32"/>
          <w:szCs w:val="22"/>
        </w:rPr>
        <w:t>乡镇人民政府、街道办事处审核</w:t>
      </w:r>
      <w:r>
        <w:rPr>
          <w:rFonts w:hint="eastAsia" w:ascii="Times New Roman" w:hAnsi="Times New Roman" w:eastAsia="仿宋_GB2312" w:cstheme="minorBidi"/>
          <w:snapToGrid w:val="0"/>
          <w:color w:val="000000"/>
          <w:sz w:val="32"/>
          <w:szCs w:val="22"/>
          <w:lang w:val="en-US" w:eastAsia="zh-CN"/>
        </w:rPr>
        <w:t>后报县级人民政府应急管理部门审批。</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5.</w:t>
      </w:r>
      <w:r>
        <w:rPr>
          <w:rFonts w:hint="eastAsia" w:ascii="Times New Roman" w:hAnsi="Times New Roman" w:eastAsia="仿宋_GB2312" w:cstheme="minorBidi"/>
          <w:snapToGrid w:val="0"/>
          <w:color w:val="000000"/>
          <w:sz w:val="32"/>
          <w:szCs w:val="22"/>
          <w:lang w:val="en-US" w:eastAsia="zh-CN"/>
        </w:rPr>
        <w:t>县级人民政府应急管理部门自受理有关材料之日起十五日内完成审批工作核定补助对象。</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6.</w:t>
      </w:r>
      <w:r>
        <w:rPr>
          <w:rFonts w:hint="eastAsia" w:ascii="Times New Roman" w:hAnsi="Times New Roman" w:eastAsia="仿宋_GB2312" w:cstheme="minorBidi"/>
          <w:snapToGrid w:val="0"/>
          <w:color w:val="000000"/>
          <w:sz w:val="32"/>
          <w:szCs w:val="22"/>
          <w:lang w:val="en-US" w:eastAsia="zh-CN"/>
        </w:rPr>
        <w:t>核定补助对象相关补助信息在乡镇、街道和村（居）民委员会所在地张榜公式7天。</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val="en-US" w:eastAsia="zh-CN"/>
        </w:rPr>
      </w:pPr>
      <w:r>
        <w:rPr>
          <w:rFonts w:hint="eastAsia" w:cstheme="minorBidi"/>
          <w:snapToGrid w:val="0"/>
          <w:color w:val="000000"/>
          <w:sz w:val="32"/>
          <w:szCs w:val="22"/>
          <w:lang w:val="en-US" w:eastAsia="zh-CN"/>
        </w:rPr>
        <w:t>7.</w:t>
      </w:r>
      <w:r>
        <w:rPr>
          <w:rFonts w:hint="eastAsia" w:ascii="Times New Roman" w:hAnsi="Times New Roman" w:eastAsia="仿宋_GB2312" w:cstheme="minorBidi"/>
          <w:snapToGrid w:val="0"/>
          <w:color w:val="000000"/>
          <w:sz w:val="32"/>
          <w:szCs w:val="22"/>
          <w:lang w:val="en-US" w:eastAsia="zh-CN"/>
        </w:rPr>
        <w:t>对受灾人员进行重建补助。</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default" w:ascii="Times New Roman" w:hAnsi="Times New Roman" w:eastAsia="楷体_GB2312" w:cstheme="minorBidi"/>
          <w:b/>
          <w:snapToGrid w:val="0"/>
          <w:color w:val="000000"/>
          <w:sz w:val="32"/>
          <w:szCs w:val="22"/>
          <w:lang w:val="en-US" w:eastAsia="zh-CN"/>
        </w:rPr>
      </w:pPr>
      <w:r>
        <w:rPr>
          <w:rFonts w:hint="eastAsia" w:eastAsia="楷体_GB2312" w:cstheme="minorBidi"/>
          <w:b/>
          <w:snapToGrid w:val="0"/>
          <w:color w:val="000000"/>
          <w:sz w:val="32"/>
          <w:szCs w:val="22"/>
          <w:lang w:val="en-US" w:eastAsia="zh-CN"/>
        </w:rPr>
        <w:t>四</w:t>
      </w:r>
      <w:r>
        <w:rPr>
          <w:rFonts w:hint="eastAsia" w:ascii="Times New Roman" w:hAnsi="Times New Roman" w:eastAsia="楷体_GB2312" w:cstheme="minorBidi"/>
          <w:b/>
          <w:snapToGrid w:val="0"/>
          <w:color w:val="000000"/>
          <w:sz w:val="32"/>
          <w:szCs w:val="22"/>
          <w:lang w:val="en-US" w:eastAsia="zh-CN"/>
        </w:rPr>
        <w:t>、办理结果</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eastAsia="zh-CN"/>
        </w:rPr>
      </w:pPr>
      <w:r>
        <w:rPr>
          <w:rFonts w:hint="eastAsia" w:ascii="Times New Roman" w:hAnsi="Times New Roman" w:eastAsia="仿宋_GB2312" w:cstheme="minorBidi"/>
          <w:snapToGrid w:val="0"/>
          <w:color w:val="000000"/>
          <w:sz w:val="32"/>
          <w:szCs w:val="22"/>
          <w:lang w:val="en-US" w:eastAsia="zh-CN"/>
        </w:rPr>
        <w:t>1、符合审批条件，同意办理发放居民住房恢复重建补助</w:t>
      </w:r>
      <w:r>
        <w:rPr>
          <w:rFonts w:hint="eastAsia" w:ascii="Times New Roman" w:hAnsi="Times New Roman" w:eastAsia="仿宋_GB2312" w:cstheme="minorBidi"/>
          <w:snapToGrid w:val="0"/>
          <w:color w:val="000000"/>
          <w:sz w:val="32"/>
          <w:szCs w:val="22"/>
          <w:lang w:eastAsia="zh-CN"/>
        </w:rPr>
        <w:t>。</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theme="minorBidi"/>
          <w:snapToGrid w:val="0"/>
          <w:color w:val="000000"/>
          <w:sz w:val="32"/>
          <w:szCs w:val="22"/>
          <w:lang w:eastAsia="zh-CN"/>
        </w:rPr>
      </w:pPr>
      <w:r>
        <w:rPr>
          <w:rFonts w:hint="eastAsia" w:ascii="Times New Roman" w:hAnsi="Times New Roman" w:eastAsia="仿宋_GB2312" w:cstheme="minorBidi"/>
          <w:snapToGrid w:val="0"/>
          <w:color w:val="000000"/>
          <w:sz w:val="32"/>
          <w:szCs w:val="22"/>
          <w:lang w:val="en-US" w:eastAsia="zh-CN"/>
        </w:rPr>
        <w:t>2、不符合审批条件，不予办理。</w:t>
      </w:r>
    </w:p>
    <w:p>
      <w:pPr>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default" w:ascii="Times New Roman" w:hAnsi="Times New Roman" w:eastAsia="仿宋_GB2312" w:cstheme="minorBidi"/>
          <w:snapToGrid w:val="0"/>
          <w:color w:val="000000"/>
          <w:sz w:val="32"/>
          <w:szCs w:val="2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DB506"/>
    <w:multiLevelType w:val="singleLevel"/>
    <w:tmpl w:val="52ADB506"/>
    <w:lvl w:ilvl="0" w:tentative="0">
      <w:start w:val="3"/>
      <w:numFmt w:val="chineseCounting"/>
      <w:suff w:val="nothing"/>
      <w:lvlText w:val="%1、"/>
      <w:lvlJc w:val="left"/>
      <w:pPr>
        <w:ind w:left="-29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NTI5MjdlMTEzZWU2ODI5NWUyNTJiOGJlYzE1NzMifQ=="/>
  </w:docVars>
  <w:rsids>
    <w:rsidRoot w:val="65012D41"/>
    <w:rsid w:val="0AD973C3"/>
    <w:rsid w:val="11495303"/>
    <w:rsid w:val="17F541D9"/>
    <w:rsid w:val="31336AE4"/>
    <w:rsid w:val="41DB0749"/>
    <w:rsid w:val="43012B75"/>
    <w:rsid w:val="54431726"/>
    <w:rsid w:val="590B6CCF"/>
    <w:rsid w:val="65012D41"/>
    <w:rsid w:val="6C2F54E9"/>
    <w:rsid w:val="6DB717B7"/>
    <w:rsid w:val="F1B7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2">
    <w:name w:val="heading 3"/>
    <w:basedOn w:val="1"/>
    <w:next w:val="1"/>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2023-11-10T17:19:00Z</dcterms:created>
  <dc:creator>Administrator</dc:creator>
  <cp:lastModifiedBy>user</cp:lastModifiedBy>
  <dcterms:modified xsi:type="dcterms:W3CDTF">2023-11-13T12:11:23Z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9D45478890A94F2EB4FE6096D46766C3_12</vt:lpwstr>
  </property>
</Properties>
</file>