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Times New Roman" w:eastAsia="方正小标宋简体" w:cs="仿宋_GB2312"/>
          <w:sz w:val="44"/>
          <w:szCs w:val="44"/>
        </w:rPr>
      </w:pPr>
      <w:r>
        <w:rPr>
          <w:rFonts w:hint="eastAsia" w:ascii="方正小标宋简体" w:hAnsi="Times New Roman" w:eastAsia="方正小标宋简体" w:cs="仿宋_GB2312"/>
          <w:sz w:val="44"/>
          <w:szCs w:val="44"/>
          <w:lang w:val="en-US" w:eastAsia="zh-CN"/>
        </w:rPr>
        <w:t>沙湾市</w:t>
      </w:r>
      <w:r>
        <w:rPr>
          <w:rFonts w:hint="eastAsia" w:ascii="方正小标宋简体" w:hAnsi="Times New Roman" w:eastAsia="方正小标宋简体" w:cs="仿宋_GB2312"/>
          <w:sz w:val="44"/>
          <w:szCs w:val="44"/>
          <w:lang w:eastAsia="zh-CN"/>
        </w:rPr>
        <w:t>柳毛湾镇</w:t>
      </w:r>
      <w:r>
        <w:rPr>
          <w:rFonts w:hint="eastAsia" w:ascii="方正小标宋简体" w:hAnsi="Times New Roman" w:eastAsia="方正小标宋简体" w:cs="仿宋_GB2312"/>
          <w:sz w:val="44"/>
          <w:szCs w:val="44"/>
          <w:lang w:val="en-US" w:eastAsia="zh-CN"/>
        </w:rPr>
        <w:t>2023年政府</w:t>
      </w:r>
      <w:r>
        <w:rPr>
          <w:rFonts w:hint="eastAsia" w:ascii="方正小标宋简体" w:hAnsi="Times New Roman" w:eastAsia="方正小标宋简体" w:cs="仿宋_GB2312"/>
          <w:sz w:val="44"/>
          <w:szCs w:val="44"/>
        </w:rPr>
        <w:t>信息公开</w:t>
      </w:r>
    </w:p>
    <w:p>
      <w:pPr>
        <w:spacing w:line="560" w:lineRule="exact"/>
        <w:jc w:val="center"/>
        <w:rPr>
          <w:rFonts w:hint="eastAsia" w:ascii="方正小标宋简体" w:hAnsi="Times New Roman" w:eastAsia="方正小标宋简体" w:cs="仿宋_GB2312"/>
          <w:sz w:val="44"/>
          <w:szCs w:val="44"/>
        </w:rPr>
      </w:pPr>
      <w:r>
        <w:rPr>
          <w:rFonts w:hint="eastAsia" w:ascii="方正小标宋简体" w:hAnsi="Times New Roman" w:eastAsia="方正小标宋简体" w:cs="仿宋_GB2312"/>
          <w:sz w:val="44"/>
          <w:szCs w:val="44"/>
        </w:rPr>
        <w:t>工作年度报告</w:t>
      </w:r>
    </w:p>
    <w:p>
      <w:pPr>
        <w:spacing w:line="560" w:lineRule="exact"/>
        <w:jc w:val="center"/>
        <w:rPr>
          <w:rFonts w:ascii="Times New Roman" w:hAnsi="Times New Roman" w:eastAsia="方正小标宋_GBK" w:cs="仿宋_GB2312"/>
          <w:sz w:val="44"/>
          <w:szCs w:val="44"/>
        </w:rPr>
      </w:pPr>
    </w:p>
    <w:p>
      <w:pPr>
        <w:keepNext w:val="0"/>
        <w:keepLines w:val="0"/>
        <w:pageBreakBefore w:val="0"/>
        <w:kinsoku/>
        <w:wordWrap/>
        <w:overflowPunct/>
        <w:topLinePunct w:val="0"/>
        <w:autoSpaceDE/>
        <w:autoSpaceDN/>
        <w:bidi w:val="0"/>
        <w:adjustRightInd/>
        <w:snapToGrid w:val="0"/>
        <w:spacing w:line="480" w:lineRule="exact"/>
        <w:ind w:firstLine="640" w:firstLineChars="200"/>
        <w:jc w:val="left"/>
        <w:textAlignment w:val="auto"/>
        <w:rPr>
          <w:rFonts w:ascii="Times New Roman" w:hAnsi="Times New Roman" w:eastAsia="黑体" w:cs="宋体"/>
          <w:sz w:val="32"/>
          <w:szCs w:val="32"/>
        </w:rPr>
      </w:pPr>
      <w:r>
        <w:rPr>
          <w:rFonts w:hint="eastAsia" w:ascii="Times New Roman" w:hAnsi="Times New Roman" w:eastAsia="黑体" w:cs="宋体"/>
          <w:sz w:val="32"/>
          <w:szCs w:val="32"/>
        </w:rPr>
        <w:t>一、总体情况</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柳毛湾镇</w:t>
      </w:r>
      <w:bookmarkStart w:id="0" w:name="_GoBack"/>
      <w:bookmarkEnd w:id="0"/>
      <w:r>
        <w:rPr>
          <w:rFonts w:hint="eastAsia" w:ascii="仿宋_GB2312" w:hAnsi="仿宋_GB2312" w:eastAsia="仿宋_GB2312" w:cs="仿宋_GB2312"/>
          <w:sz w:val="32"/>
          <w:szCs w:val="32"/>
        </w:rPr>
        <w:t>按照主动公开、依申请公开、不予公开的政府信息分类要求，坚持以主动公开为原则，不公开为例外，并分阶段及时报送和更新信息公开内容，确保了政府信息公开的全面、及时、准确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auto"/>
          <w:spacing w:val="0"/>
          <w:sz w:val="32"/>
          <w:szCs w:val="32"/>
          <w:shd w:val="clear" w:color="auto" w:fill="FFFFFF"/>
        </w:rPr>
        <w:t>聚焦群众服务需求，不断深化“放管服”改革，持续优化政务环境，致力构建镇村一体、线上线下融合办事的政务服务体系，全力推动</w:t>
      </w:r>
      <w:r>
        <w:rPr>
          <w:rFonts w:hint="eastAsia" w:ascii="仿宋_GB2312" w:hAnsi="仿宋_GB2312" w:eastAsia="仿宋_GB2312" w:cs="仿宋_GB2312"/>
          <w:i w:val="0"/>
          <w:caps w:val="0"/>
          <w:color w:val="auto"/>
          <w:spacing w:val="0"/>
          <w:sz w:val="32"/>
          <w:szCs w:val="32"/>
          <w:shd w:val="clear" w:color="auto" w:fill="FFFFFF"/>
          <w:lang w:val="en-US" w:eastAsia="zh-CN"/>
        </w:rPr>
        <w:t>柳毛湾镇</w:t>
      </w:r>
      <w:r>
        <w:rPr>
          <w:rFonts w:hint="eastAsia" w:ascii="仿宋_GB2312" w:hAnsi="仿宋_GB2312" w:eastAsia="仿宋_GB2312" w:cs="仿宋_GB2312"/>
          <w:i w:val="0"/>
          <w:caps w:val="0"/>
          <w:color w:val="auto"/>
          <w:spacing w:val="0"/>
          <w:sz w:val="32"/>
          <w:szCs w:val="32"/>
          <w:shd w:val="clear" w:color="auto" w:fill="FFFFFF"/>
        </w:rPr>
        <w:t>行政服务事业高质量发展。</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w:t>
      </w:r>
      <w:r>
        <w:rPr>
          <w:rFonts w:hint="eastAsia" w:ascii="仿宋_GB2312" w:hAnsi="仿宋_GB2312" w:eastAsia="仿宋_GB2312" w:cs="仿宋_GB2312"/>
          <w:b/>
          <w:bCs/>
          <w:sz w:val="32"/>
          <w:szCs w:val="32"/>
        </w:rPr>
        <w:t>提高认识，加强领导。</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高度重视安全监管方面政府信息公开工作，把它提到建立长效安全监管机制及落实有效安全监管的高度，成立了以党委书记为组长，镇长为副组长，其他相关科室负责同志为成员的镇政府信息公开领导小组。同时，建立了政府信息公开联席会议制度，对政府信息公开中出现的新情况、新问题进行专题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统一组织，协调和推进政府信息公开工作。</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val="en-US" w:eastAsia="zh-CN" w:bidi="ar-SA"/>
        </w:rPr>
        <w:t>（二）</w:t>
      </w:r>
      <w:r>
        <w:rPr>
          <w:rFonts w:hint="eastAsia" w:ascii="仿宋_GB2312" w:hAnsi="仿宋_GB2312" w:eastAsia="仿宋_GB2312" w:cs="仿宋_GB2312"/>
          <w:b/>
          <w:bCs/>
          <w:sz w:val="32"/>
          <w:szCs w:val="32"/>
        </w:rPr>
        <w:t>加强培训，加大投入。</w:t>
      </w:r>
      <w:r>
        <w:rPr>
          <w:rFonts w:hint="eastAsia" w:ascii="仿宋_GB2312" w:hAnsi="仿宋_GB2312" w:eastAsia="仿宋_GB2312" w:cs="仿宋_GB2312"/>
          <w:sz w:val="32"/>
          <w:szCs w:val="32"/>
        </w:rPr>
        <w:t>为更好地</w:t>
      </w:r>
      <w:r>
        <w:rPr>
          <w:rFonts w:hint="eastAsia" w:ascii="仿宋_GB2312" w:hAnsi="仿宋_GB2312" w:eastAsia="仿宋_GB2312" w:cs="仿宋_GB2312"/>
          <w:sz w:val="32"/>
          <w:szCs w:val="32"/>
          <w:lang w:val="en-US" w:eastAsia="zh-CN"/>
        </w:rPr>
        <w:t>开</w:t>
      </w:r>
      <w:r>
        <w:rPr>
          <w:rFonts w:hint="eastAsia" w:ascii="仿宋_GB2312" w:hAnsi="仿宋_GB2312" w:eastAsia="仿宋_GB2312" w:cs="仿宋_GB2312"/>
          <w:sz w:val="32"/>
          <w:szCs w:val="32"/>
        </w:rPr>
        <w:t>展政府信息公开工作，我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积极动员和安排负责政府信息公开工作的人员参加业务培训，明确了职责、程序、公开方式和时限要求等，要求严格执行保密制度及责任追究制度，不断提高相关人员的工作能力和业务水平，同时，积极推进办公软件正版化工作，为正常开展工作提供有力的保障，确保政府信息公开工作稳步推进。</w:t>
      </w:r>
    </w:p>
    <w:p>
      <w:pPr>
        <w:keepNext w:val="0"/>
        <w:keepLines w:val="0"/>
        <w:pageBreakBefore w:val="0"/>
        <w:widowControl w:val="0"/>
        <w:kinsoku/>
        <w:wordWrap/>
        <w:overflowPunct/>
        <w:topLinePunct w:val="0"/>
        <w:autoSpaceDE/>
        <w:autoSpaceDN/>
        <w:bidi w:val="0"/>
        <w:adjustRightInd/>
        <w:snapToGrid w:val="0"/>
        <w:spacing w:before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落实</w:t>
      </w:r>
      <w:r>
        <w:rPr>
          <w:rFonts w:hint="eastAsia" w:ascii="楷体_GB2312" w:hAnsi="楷体_GB2312" w:eastAsia="楷体_GB2312" w:cs="楷体_GB2312"/>
          <w:b/>
          <w:bCs/>
          <w:sz w:val="32"/>
          <w:szCs w:val="32"/>
          <w:lang w:val="en-US" w:eastAsia="zh-CN"/>
        </w:rPr>
        <w:t>制度，公开透明</w:t>
      </w:r>
      <w:r>
        <w:rPr>
          <w:rFonts w:hint="eastAsia" w:ascii="楷体_GB2312" w:hAnsi="楷体_GB2312" w:eastAsia="楷体_GB2312" w:cs="楷体_GB2312"/>
          <w:b/>
          <w:bCs/>
          <w:sz w:val="32"/>
          <w:szCs w:val="32"/>
        </w:rPr>
        <w:t>。</w:t>
      </w:r>
      <w:r>
        <w:rPr>
          <w:rFonts w:hint="eastAsia" w:ascii="Times New Roman" w:hAnsi="Times New Roman" w:eastAsia="仿宋_GB2312" w:cs="宋体"/>
          <w:sz w:val="32"/>
          <w:szCs w:val="32"/>
        </w:rPr>
        <w:t>准确把握政府信息公开的内容、范围、形式等，确保</w:t>
      </w:r>
      <w:r>
        <w:rPr>
          <w:rFonts w:hint="eastAsia" w:ascii="Times New Roman" w:hAnsi="Times New Roman" w:eastAsia="仿宋_GB2312" w:cs="宋体"/>
          <w:sz w:val="32"/>
          <w:szCs w:val="32"/>
          <w:lang w:val="en-US" w:eastAsia="zh-CN"/>
        </w:rPr>
        <w:t>群众</w:t>
      </w:r>
      <w:r>
        <w:rPr>
          <w:rFonts w:hint="eastAsia" w:ascii="Times New Roman" w:hAnsi="Times New Roman" w:eastAsia="仿宋_GB2312" w:cs="宋体"/>
          <w:sz w:val="32"/>
          <w:szCs w:val="32"/>
        </w:rPr>
        <w:t>的知情权，保证政府信息公开工作的顺利进行。坚持把公开透明作为政府工作的基本原则，</w:t>
      </w:r>
      <w:r>
        <w:rPr>
          <w:rFonts w:hint="eastAsia" w:ascii="仿宋_GB2312" w:hAnsi="仿宋_GB2312" w:eastAsia="仿宋_GB2312" w:cs="仿宋_GB2312"/>
          <w:sz w:val="32"/>
          <w:szCs w:val="32"/>
        </w:rPr>
        <w:t>由党政办负责具体信息主动公开工作和依申请公开的受理工作，负责政府信息管理、平台建设、监督保障工作；各站所负责向党政办提供可供公开的政府信息。</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仿宋_GB2312" w:hAnsi="仿宋_GB2312" w:eastAsia="仿宋_GB2312" w:cs="仿宋_GB2312"/>
          <w:b/>
          <w:bCs/>
          <w:sz w:val="32"/>
          <w:szCs w:val="32"/>
        </w:rPr>
        <w:t>拓宽渠道，增加途径。</w:t>
      </w:r>
      <w:r>
        <w:rPr>
          <w:rFonts w:hint="eastAsia" w:ascii="仿宋_GB2312" w:hAnsi="仿宋_GB2312" w:eastAsia="仿宋_GB2312" w:cs="仿宋_GB2312"/>
          <w:sz w:val="32"/>
          <w:szCs w:val="32"/>
        </w:rPr>
        <w:t>为了进一步拓宽信息公开的方式和途径我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积极、及时地通过</w:t>
      </w:r>
      <w:r>
        <w:rPr>
          <w:rFonts w:hint="eastAsia" w:ascii="仿宋_GB2312" w:hAnsi="仿宋_GB2312" w:eastAsia="仿宋_GB2312" w:cs="仿宋_GB2312"/>
          <w:sz w:val="32"/>
          <w:szCs w:val="32"/>
          <w:lang w:val="en-US" w:eastAsia="zh-CN"/>
        </w:rPr>
        <w:t>网络</w:t>
      </w:r>
      <w:r>
        <w:rPr>
          <w:rFonts w:hint="eastAsia" w:ascii="仿宋_GB2312" w:hAnsi="仿宋_GB2312" w:eastAsia="仿宋_GB2312" w:cs="仿宋_GB2312"/>
          <w:sz w:val="32"/>
          <w:szCs w:val="32"/>
        </w:rPr>
        <w:t>、报纸和其他公开方式将政府信息进行公示，并采用接待来访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w:t>
      </w:r>
      <w:r>
        <w:rPr>
          <w:rFonts w:hint="eastAsia" w:ascii="仿宋_GB2312" w:hAnsi="仿宋_GB2312" w:eastAsia="仿宋_GB2312" w:cs="仿宋_GB2312"/>
          <w:sz w:val="32"/>
          <w:szCs w:val="32"/>
        </w:rPr>
        <w:t>子信箱、传真电话、发放宣传手册和资料等方式，最大限度地把政策、</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法规、政务动态及时对外公布大大地增加了信息公开的透明度。</w:t>
      </w:r>
    </w:p>
    <w:p>
      <w:pPr>
        <w:spacing w:line="480" w:lineRule="exact"/>
        <w:ind w:firstLine="640" w:firstLineChars="200"/>
        <w:jc w:val="both"/>
        <w:rPr>
          <w:rFonts w:ascii="Times New Roman" w:hAnsi="Times New Roman" w:eastAsia="黑体" w:cs="宋体"/>
          <w:sz w:val="32"/>
          <w:szCs w:val="32"/>
        </w:rPr>
      </w:pPr>
      <w:r>
        <w:rPr>
          <w:rFonts w:hint="eastAsia" w:ascii="Times New Roman" w:hAnsi="Times New Roman" w:eastAsia="黑体" w:cs="宋体"/>
          <w:sz w:val="32"/>
          <w:szCs w:val="32"/>
        </w:rPr>
        <w:t>二、主动公开政府信息情况</w:t>
      </w:r>
    </w:p>
    <w:tbl>
      <w:tblPr>
        <w:tblStyle w:val="5"/>
        <w:tblW w:w="8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289"/>
        <w:gridCol w:w="2126"/>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476" w:type="dxa"/>
            <w:gridSpan w:val="4"/>
            <w:noWrap/>
            <w:vAlign w:val="top"/>
          </w:tcPr>
          <w:p>
            <w:pPr>
              <w:widowControl/>
              <w:spacing w:after="144" w:line="300" w:lineRule="exact"/>
              <w:jc w:val="center"/>
              <w:rPr>
                <w:rFonts w:ascii="Times New Roman" w:hAnsi="Times New Roman"/>
                <w:sz w:val="24"/>
              </w:rPr>
            </w:pPr>
            <w:r>
              <w:rPr>
                <w:rFonts w:hint="eastAsia" w:ascii="Times New Roman" w:hAnsi="Times New Roman" w:cs="宋体"/>
                <w:kern w:val="0"/>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137" w:type="dxa"/>
            <w:noWrap/>
            <w:vAlign w:val="center"/>
          </w:tcPr>
          <w:p>
            <w:pPr>
              <w:widowControl/>
              <w:spacing w:after="144" w:line="300" w:lineRule="exact"/>
              <w:jc w:val="center"/>
              <w:rPr>
                <w:rFonts w:ascii="Times New Roman" w:hAnsi="Times New Roman"/>
                <w:sz w:val="24"/>
              </w:rPr>
            </w:pPr>
            <w:r>
              <w:rPr>
                <w:rFonts w:hint="eastAsia" w:ascii="Times New Roman" w:hAnsi="Times New Roman" w:cs="宋体"/>
                <w:kern w:val="0"/>
                <w:sz w:val="24"/>
              </w:rPr>
              <w:t>信息内容</w:t>
            </w:r>
          </w:p>
        </w:tc>
        <w:tc>
          <w:tcPr>
            <w:tcW w:w="2289" w:type="dxa"/>
            <w:noWrap/>
            <w:vAlign w:val="center"/>
          </w:tcPr>
          <w:p>
            <w:pPr>
              <w:widowControl/>
              <w:spacing w:after="144" w:line="300" w:lineRule="exact"/>
              <w:jc w:val="center"/>
              <w:rPr>
                <w:rFonts w:hint="default" w:ascii="Times New Roman" w:hAnsi="Times New Roman" w:eastAsia="宋体"/>
                <w:sz w:val="24"/>
                <w:lang w:val="en-US" w:eastAsia="zh-CN"/>
              </w:rPr>
            </w:pPr>
            <w:r>
              <w:rPr>
                <w:rFonts w:hint="eastAsia" w:ascii="Times New Roman" w:hAnsi="Times New Roman" w:cs="宋体"/>
                <w:kern w:val="0"/>
                <w:sz w:val="24"/>
              </w:rPr>
              <w:t>本年</w:t>
            </w:r>
            <w:r>
              <w:rPr>
                <w:rFonts w:hint="eastAsia" w:ascii="Times New Roman" w:hAnsi="Times New Roman" w:cs="宋体"/>
                <w:kern w:val="0"/>
                <w:sz w:val="24"/>
                <w:lang w:val="en-US" w:eastAsia="zh-CN"/>
              </w:rPr>
              <w:t>制发件数</w:t>
            </w:r>
          </w:p>
        </w:tc>
        <w:tc>
          <w:tcPr>
            <w:tcW w:w="2126" w:type="dxa"/>
            <w:noWrap w:val="0"/>
            <w:vAlign w:val="center"/>
          </w:tcPr>
          <w:p>
            <w:pPr>
              <w:widowControl/>
              <w:spacing w:after="144" w:line="300" w:lineRule="exact"/>
              <w:jc w:val="center"/>
              <w:rPr>
                <w:rFonts w:hint="default" w:ascii="Times New Roman" w:hAnsi="Times New Roman" w:eastAsia="宋体"/>
                <w:sz w:val="24"/>
                <w:lang w:val="en-US" w:eastAsia="zh-CN"/>
              </w:rPr>
            </w:pPr>
            <w:r>
              <w:rPr>
                <w:rFonts w:hint="eastAsia" w:ascii="Times New Roman" w:hAnsi="Times New Roman" w:cs="宋体"/>
                <w:kern w:val="0"/>
                <w:sz w:val="24"/>
              </w:rPr>
              <w:t>本年</w:t>
            </w:r>
            <w:r>
              <w:rPr>
                <w:rFonts w:hint="eastAsia" w:ascii="Times New Roman" w:hAnsi="Times New Roman" w:cs="宋体"/>
                <w:kern w:val="0"/>
                <w:sz w:val="24"/>
                <w:lang w:val="en-US" w:eastAsia="zh-CN"/>
              </w:rPr>
              <w:t>废止件数</w:t>
            </w:r>
          </w:p>
        </w:tc>
        <w:tc>
          <w:tcPr>
            <w:tcW w:w="1924" w:type="dxa"/>
            <w:noWrap/>
            <w:vAlign w:val="center"/>
          </w:tcPr>
          <w:p>
            <w:pPr>
              <w:widowControl/>
              <w:spacing w:after="144" w:line="300" w:lineRule="exact"/>
              <w:jc w:val="center"/>
              <w:rPr>
                <w:rFonts w:hint="default" w:ascii="Times New Roman" w:hAnsi="Times New Roman" w:eastAsia="宋体"/>
                <w:sz w:val="24"/>
                <w:lang w:val="en-US" w:eastAsia="zh-CN"/>
              </w:rPr>
            </w:pPr>
            <w:r>
              <w:rPr>
                <w:rFonts w:hint="eastAsia" w:ascii="Times New Roman" w:hAnsi="Times New Roman"/>
                <w:sz w:val="24"/>
                <w:lang w:val="en-US" w:eastAsia="zh-CN"/>
              </w:rPr>
              <w:t>现行有效文件数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137" w:type="dxa"/>
            <w:noWrap/>
            <w:vAlign w:val="top"/>
          </w:tcPr>
          <w:p>
            <w:pPr>
              <w:widowControl/>
              <w:spacing w:after="144" w:line="300" w:lineRule="exact"/>
              <w:jc w:val="left"/>
              <w:rPr>
                <w:rFonts w:ascii="Times New Roman" w:hAnsi="Times New Roman"/>
                <w:sz w:val="24"/>
              </w:rPr>
            </w:pPr>
            <w:r>
              <w:rPr>
                <w:rFonts w:hint="eastAsia" w:ascii="Times New Roman" w:hAnsi="Times New Roman" w:cs="宋体"/>
                <w:kern w:val="0"/>
                <w:sz w:val="24"/>
              </w:rPr>
              <w:t>规章</w:t>
            </w:r>
          </w:p>
        </w:tc>
        <w:tc>
          <w:tcPr>
            <w:tcW w:w="2289" w:type="dxa"/>
            <w:noWrap/>
            <w:vAlign w:val="center"/>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2126" w:type="dxa"/>
            <w:noWrap w:val="0"/>
            <w:vAlign w:val="center"/>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1924" w:type="dxa"/>
            <w:noWrap/>
            <w:vAlign w:val="center"/>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2137" w:type="dxa"/>
            <w:noWrap/>
            <w:vAlign w:val="top"/>
          </w:tcPr>
          <w:p>
            <w:pPr>
              <w:widowControl/>
              <w:spacing w:after="144" w:line="300" w:lineRule="exact"/>
              <w:jc w:val="left"/>
              <w:rPr>
                <w:rFonts w:ascii="Times New Roman" w:hAnsi="Times New Roman"/>
                <w:sz w:val="24"/>
              </w:rPr>
            </w:pPr>
            <w:r>
              <w:rPr>
                <w:rFonts w:hint="eastAsia" w:ascii="Times New Roman" w:hAnsi="Times New Roman" w:cs="宋体"/>
                <w:kern w:val="0"/>
                <w:sz w:val="24"/>
              </w:rPr>
              <w:t>规范性文件</w:t>
            </w:r>
          </w:p>
        </w:tc>
        <w:tc>
          <w:tcPr>
            <w:tcW w:w="2289" w:type="dxa"/>
            <w:noWrap/>
            <w:vAlign w:val="center"/>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2126" w:type="dxa"/>
            <w:noWrap w:val="0"/>
            <w:vAlign w:val="center"/>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1924" w:type="dxa"/>
            <w:noWrap/>
            <w:vAlign w:val="center"/>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476" w:type="dxa"/>
            <w:gridSpan w:val="4"/>
            <w:noWrap/>
            <w:vAlign w:val="top"/>
          </w:tcPr>
          <w:p>
            <w:pPr>
              <w:widowControl/>
              <w:spacing w:after="144" w:line="300" w:lineRule="exact"/>
              <w:jc w:val="center"/>
              <w:rPr>
                <w:rFonts w:ascii="Times New Roman" w:hAnsi="Times New Roman"/>
                <w:sz w:val="24"/>
              </w:rPr>
            </w:pPr>
            <w:r>
              <w:rPr>
                <w:rFonts w:hint="eastAsia" w:ascii="Times New Roman" w:hAnsi="Times New Roman" w:cs="宋体"/>
                <w:kern w:val="0"/>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2137" w:type="dxa"/>
            <w:noWrap/>
            <w:vAlign w:val="top"/>
          </w:tcPr>
          <w:p>
            <w:pPr>
              <w:widowControl/>
              <w:spacing w:after="144" w:line="300" w:lineRule="exact"/>
              <w:jc w:val="center"/>
              <w:rPr>
                <w:rFonts w:ascii="Times New Roman" w:hAnsi="Times New Roman"/>
                <w:sz w:val="24"/>
              </w:rPr>
            </w:pPr>
            <w:r>
              <w:rPr>
                <w:rFonts w:hint="eastAsia" w:ascii="Times New Roman" w:hAnsi="Times New Roman" w:cs="宋体"/>
                <w:kern w:val="0"/>
                <w:sz w:val="24"/>
              </w:rPr>
              <w:t>信息内容</w:t>
            </w:r>
          </w:p>
        </w:tc>
        <w:tc>
          <w:tcPr>
            <w:tcW w:w="6339" w:type="dxa"/>
            <w:gridSpan w:val="3"/>
            <w:noWrap/>
            <w:vAlign w:val="top"/>
          </w:tcPr>
          <w:p>
            <w:pPr>
              <w:widowControl/>
              <w:spacing w:after="144" w:line="300" w:lineRule="exact"/>
              <w:jc w:val="center"/>
              <w:rPr>
                <w:rFonts w:hint="default" w:ascii="Times New Roman" w:hAnsi="Times New Roman" w:eastAsia="宋体"/>
                <w:sz w:val="24"/>
                <w:lang w:val="en-US" w:eastAsia="zh-CN"/>
              </w:rPr>
            </w:pPr>
            <w:r>
              <w:rPr>
                <w:rFonts w:hint="eastAsia" w:ascii="Times New Roman" w:hAnsi="Times New Roman"/>
                <w:sz w:val="24"/>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2137" w:type="dxa"/>
            <w:noWrap/>
            <w:vAlign w:val="top"/>
          </w:tcPr>
          <w:p>
            <w:pPr>
              <w:widowControl/>
              <w:spacing w:after="144" w:line="300" w:lineRule="exact"/>
              <w:jc w:val="left"/>
              <w:rPr>
                <w:rFonts w:ascii="Times New Roman" w:hAnsi="Times New Roman"/>
                <w:sz w:val="24"/>
              </w:rPr>
            </w:pPr>
            <w:r>
              <w:rPr>
                <w:rFonts w:hint="eastAsia" w:ascii="Times New Roman" w:hAnsi="Times New Roman" w:cs="宋体"/>
                <w:kern w:val="0"/>
                <w:sz w:val="24"/>
              </w:rPr>
              <w:t>行政许可</w:t>
            </w:r>
          </w:p>
        </w:tc>
        <w:tc>
          <w:tcPr>
            <w:tcW w:w="2289" w:type="dxa"/>
            <w:noWrap/>
            <w:vAlign w:val="top"/>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2126" w:type="dxa"/>
            <w:noWrap/>
            <w:vAlign w:val="top"/>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1924" w:type="dxa"/>
            <w:noWrap/>
            <w:vAlign w:val="top"/>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476" w:type="dxa"/>
            <w:gridSpan w:val="4"/>
            <w:noWrap/>
            <w:vAlign w:val="top"/>
          </w:tcPr>
          <w:p>
            <w:pPr>
              <w:widowControl/>
              <w:spacing w:after="144" w:line="300" w:lineRule="exact"/>
              <w:jc w:val="center"/>
              <w:rPr>
                <w:rFonts w:ascii="Times New Roman" w:hAnsi="Times New Roman"/>
                <w:sz w:val="24"/>
              </w:rPr>
            </w:pPr>
            <w:r>
              <w:rPr>
                <w:rFonts w:hint="eastAsia" w:ascii="Times New Roman" w:hAnsi="Times New Roman" w:cs="宋体"/>
                <w:kern w:val="0"/>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137" w:type="dxa"/>
            <w:noWrap/>
            <w:vAlign w:val="top"/>
          </w:tcPr>
          <w:p>
            <w:pPr>
              <w:widowControl/>
              <w:spacing w:after="144" w:line="300" w:lineRule="exact"/>
              <w:jc w:val="center"/>
              <w:rPr>
                <w:rFonts w:ascii="Times New Roman" w:hAnsi="Times New Roman"/>
                <w:sz w:val="24"/>
              </w:rPr>
            </w:pPr>
            <w:r>
              <w:rPr>
                <w:rFonts w:hint="eastAsia" w:ascii="Times New Roman" w:hAnsi="Times New Roman" w:cs="宋体"/>
                <w:kern w:val="0"/>
                <w:sz w:val="24"/>
              </w:rPr>
              <w:t>信息内容</w:t>
            </w:r>
          </w:p>
        </w:tc>
        <w:tc>
          <w:tcPr>
            <w:tcW w:w="6339" w:type="dxa"/>
            <w:gridSpan w:val="3"/>
            <w:noWrap/>
            <w:vAlign w:val="top"/>
          </w:tcPr>
          <w:p>
            <w:pPr>
              <w:widowControl/>
              <w:spacing w:after="144" w:line="300" w:lineRule="exact"/>
              <w:jc w:val="center"/>
              <w:rPr>
                <w:rFonts w:ascii="Times New Roman" w:hAnsi="Times New Roman"/>
                <w:sz w:val="24"/>
              </w:rPr>
            </w:pPr>
            <w:r>
              <w:rPr>
                <w:rFonts w:hint="eastAsia" w:ascii="Times New Roman" w:hAnsi="Times New Roman"/>
                <w:sz w:val="24"/>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137" w:type="dxa"/>
            <w:noWrap/>
            <w:vAlign w:val="top"/>
          </w:tcPr>
          <w:p>
            <w:pPr>
              <w:widowControl/>
              <w:spacing w:after="144" w:line="300" w:lineRule="exact"/>
              <w:jc w:val="left"/>
              <w:rPr>
                <w:rFonts w:ascii="Times New Roman" w:hAnsi="Times New Roman"/>
                <w:sz w:val="24"/>
              </w:rPr>
            </w:pPr>
            <w:r>
              <w:rPr>
                <w:rFonts w:hint="eastAsia" w:ascii="Times New Roman" w:hAnsi="Times New Roman" w:cs="宋体"/>
                <w:kern w:val="0"/>
                <w:sz w:val="24"/>
              </w:rPr>
              <w:t>行政处罚</w:t>
            </w:r>
          </w:p>
        </w:tc>
        <w:tc>
          <w:tcPr>
            <w:tcW w:w="2289" w:type="dxa"/>
            <w:noWrap/>
            <w:vAlign w:val="top"/>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2126" w:type="dxa"/>
            <w:noWrap/>
            <w:vAlign w:val="top"/>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1924" w:type="dxa"/>
            <w:noWrap/>
            <w:vAlign w:val="top"/>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2137" w:type="dxa"/>
            <w:noWrap/>
            <w:vAlign w:val="top"/>
          </w:tcPr>
          <w:p>
            <w:pPr>
              <w:widowControl/>
              <w:spacing w:after="144" w:line="300" w:lineRule="exact"/>
              <w:jc w:val="left"/>
              <w:rPr>
                <w:rFonts w:ascii="Times New Roman" w:hAnsi="Times New Roman"/>
                <w:sz w:val="24"/>
              </w:rPr>
            </w:pPr>
            <w:r>
              <w:rPr>
                <w:rFonts w:hint="eastAsia" w:ascii="Times New Roman" w:hAnsi="Times New Roman" w:cs="宋体"/>
                <w:kern w:val="0"/>
                <w:sz w:val="24"/>
              </w:rPr>
              <w:t>行政强制</w:t>
            </w:r>
          </w:p>
        </w:tc>
        <w:tc>
          <w:tcPr>
            <w:tcW w:w="2289" w:type="dxa"/>
            <w:noWrap/>
            <w:vAlign w:val="top"/>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2126" w:type="dxa"/>
            <w:noWrap/>
            <w:vAlign w:val="top"/>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1924" w:type="dxa"/>
            <w:noWrap/>
            <w:vAlign w:val="top"/>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76" w:type="dxa"/>
            <w:gridSpan w:val="4"/>
            <w:noWrap/>
            <w:vAlign w:val="top"/>
          </w:tcPr>
          <w:p>
            <w:pPr>
              <w:widowControl/>
              <w:spacing w:after="144" w:line="300" w:lineRule="exact"/>
              <w:jc w:val="center"/>
              <w:rPr>
                <w:rFonts w:ascii="Times New Roman" w:hAnsi="Times New Roman"/>
                <w:sz w:val="24"/>
              </w:rPr>
            </w:pPr>
            <w:r>
              <w:rPr>
                <w:rFonts w:hint="eastAsia" w:ascii="Times New Roman" w:hAnsi="Times New Roman" w:cs="宋体"/>
                <w:kern w:val="0"/>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2137" w:type="dxa"/>
            <w:noWrap/>
            <w:vAlign w:val="top"/>
          </w:tcPr>
          <w:p>
            <w:pPr>
              <w:widowControl/>
              <w:spacing w:after="144" w:line="300" w:lineRule="exact"/>
              <w:jc w:val="center"/>
              <w:rPr>
                <w:rFonts w:ascii="Times New Roman" w:hAnsi="Times New Roman"/>
                <w:sz w:val="24"/>
              </w:rPr>
            </w:pPr>
            <w:r>
              <w:rPr>
                <w:rFonts w:hint="eastAsia" w:ascii="Times New Roman" w:hAnsi="Times New Roman" w:cs="宋体"/>
                <w:kern w:val="0"/>
                <w:sz w:val="24"/>
              </w:rPr>
              <w:t>信息内容</w:t>
            </w:r>
          </w:p>
        </w:tc>
        <w:tc>
          <w:tcPr>
            <w:tcW w:w="6339" w:type="dxa"/>
            <w:gridSpan w:val="3"/>
            <w:noWrap/>
            <w:vAlign w:val="top"/>
          </w:tcPr>
          <w:p>
            <w:pPr>
              <w:widowControl/>
              <w:spacing w:after="144" w:line="300" w:lineRule="exact"/>
              <w:jc w:val="center"/>
              <w:rPr>
                <w:rFonts w:hint="default" w:ascii="Times New Roman" w:hAnsi="Times New Roman" w:eastAsia="宋体"/>
                <w:sz w:val="24"/>
                <w:lang w:val="en-US" w:eastAsia="zh-CN"/>
              </w:rPr>
            </w:pPr>
            <w:r>
              <w:rPr>
                <w:rFonts w:hint="eastAsia" w:ascii="Times New Roman" w:hAnsi="Times New Roman"/>
                <w:sz w:val="24"/>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2137" w:type="dxa"/>
            <w:noWrap/>
            <w:vAlign w:val="top"/>
          </w:tcPr>
          <w:p>
            <w:pPr>
              <w:widowControl/>
              <w:spacing w:after="144" w:line="300" w:lineRule="exact"/>
              <w:jc w:val="left"/>
              <w:rPr>
                <w:rFonts w:ascii="Times New Roman" w:hAnsi="Times New Roman"/>
                <w:sz w:val="24"/>
              </w:rPr>
            </w:pPr>
            <w:r>
              <w:rPr>
                <w:rFonts w:hint="eastAsia" w:ascii="Times New Roman" w:hAnsi="Times New Roman" w:cs="宋体"/>
                <w:kern w:val="0"/>
                <w:sz w:val="24"/>
              </w:rPr>
              <w:t>行政事业性收费</w:t>
            </w:r>
          </w:p>
        </w:tc>
        <w:tc>
          <w:tcPr>
            <w:tcW w:w="2289" w:type="dxa"/>
            <w:noWrap/>
            <w:vAlign w:val="top"/>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4050" w:type="dxa"/>
            <w:gridSpan w:val="2"/>
            <w:noWrap/>
            <w:vAlign w:val="top"/>
          </w:tcPr>
          <w:p>
            <w:pPr>
              <w:widowControl/>
              <w:spacing w:after="144" w:line="30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Times New Roman" w:hAnsi="Times New Roman" w:eastAsia="黑体" w:cs="宋体"/>
          <w:sz w:val="32"/>
          <w:szCs w:val="30"/>
        </w:rPr>
      </w:pPr>
      <w:r>
        <w:rPr>
          <w:rFonts w:hint="eastAsia" w:ascii="Times New Roman" w:hAnsi="Times New Roman" w:eastAsia="黑体" w:cs="宋体"/>
          <w:sz w:val="32"/>
          <w:szCs w:val="30"/>
        </w:rPr>
        <w:t>三、收到和处理政府信息公开申请情况</w:t>
      </w:r>
    </w:p>
    <w:tbl>
      <w:tblPr>
        <w:tblStyle w:val="5"/>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936"/>
        <w:gridCol w:w="3377"/>
        <w:gridCol w:w="456"/>
        <w:gridCol w:w="707"/>
        <w:gridCol w:w="707"/>
        <w:gridCol w:w="706"/>
        <w:gridCol w:w="707"/>
        <w:gridCol w:w="465"/>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 w:hRule="atLeast"/>
          <w:jc w:val="center"/>
        </w:trPr>
        <w:tc>
          <w:tcPr>
            <w:tcW w:w="5010" w:type="dxa"/>
            <w:gridSpan w:val="3"/>
            <w:vMerge w:val="restart"/>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宋体"/>
                <w:kern w:val="0"/>
                <w:sz w:val="24"/>
              </w:rPr>
              <w:t>（本列数据的勾稽关系为：第一项加第二项之和，等于第三项加第四项之和）</w:t>
            </w:r>
          </w:p>
        </w:tc>
        <w:tc>
          <w:tcPr>
            <w:tcW w:w="4204" w:type="dxa"/>
            <w:gridSpan w:val="7"/>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宋体"/>
                <w:kern w:val="0"/>
                <w:sz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vMerge w:val="continue"/>
            <w:noWrap w:val="0"/>
            <w:tcMar>
              <w:left w:w="108" w:type="dxa"/>
              <w:right w:w="108" w:type="dxa"/>
            </w:tcMar>
            <w:vAlign w:val="center"/>
          </w:tcPr>
          <w:p>
            <w:pPr>
              <w:spacing w:line="260" w:lineRule="exact"/>
              <w:rPr>
                <w:rFonts w:ascii="Times New Roman" w:hAnsi="Times New Roman"/>
                <w:sz w:val="24"/>
              </w:rPr>
            </w:pPr>
          </w:p>
        </w:tc>
        <w:tc>
          <w:tcPr>
            <w:tcW w:w="456" w:type="dxa"/>
            <w:vMerge w:val="restart"/>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宋体"/>
                <w:kern w:val="0"/>
                <w:sz w:val="24"/>
              </w:rPr>
              <w:t>自然人</w:t>
            </w:r>
          </w:p>
        </w:tc>
        <w:tc>
          <w:tcPr>
            <w:tcW w:w="3292" w:type="dxa"/>
            <w:gridSpan w:val="5"/>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宋体"/>
                <w:kern w:val="0"/>
                <w:sz w:val="24"/>
              </w:rPr>
              <w:t>法人或其他组织</w:t>
            </w:r>
          </w:p>
        </w:tc>
        <w:tc>
          <w:tcPr>
            <w:tcW w:w="456" w:type="dxa"/>
            <w:vMerge w:val="restart"/>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jc w:val="center"/>
        </w:trPr>
        <w:tc>
          <w:tcPr>
            <w:tcW w:w="5010" w:type="dxa"/>
            <w:gridSpan w:val="3"/>
            <w:vMerge w:val="continue"/>
            <w:noWrap w:val="0"/>
            <w:tcMar>
              <w:left w:w="108" w:type="dxa"/>
              <w:right w:w="108" w:type="dxa"/>
            </w:tcMar>
            <w:vAlign w:val="center"/>
          </w:tcPr>
          <w:p>
            <w:pPr>
              <w:spacing w:line="260" w:lineRule="exact"/>
              <w:rPr>
                <w:rFonts w:ascii="Times New Roman" w:hAnsi="Times New Roman"/>
                <w:sz w:val="24"/>
              </w:rPr>
            </w:pPr>
          </w:p>
        </w:tc>
        <w:tc>
          <w:tcPr>
            <w:tcW w:w="456" w:type="dxa"/>
            <w:vMerge w:val="continue"/>
            <w:noWrap w:val="0"/>
            <w:tcMar>
              <w:left w:w="108" w:type="dxa"/>
              <w:right w:w="108" w:type="dxa"/>
            </w:tcMar>
            <w:vAlign w:val="center"/>
          </w:tcPr>
          <w:p>
            <w:pPr>
              <w:spacing w:line="260" w:lineRule="exact"/>
              <w:rPr>
                <w:rFonts w:ascii="Times New Roman" w:hAnsi="Times New Roman"/>
                <w:sz w:val="24"/>
              </w:rPr>
            </w:pP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宋体"/>
                <w:kern w:val="0"/>
                <w:sz w:val="24"/>
              </w:rPr>
              <w:t>商业企业</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宋体"/>
                <w:kern w:val="0"/>
                <w:sz w:val="24"/>
              </w:rPr>
              <w:t>科研机构</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宋体"/>
                <w:kern w:val="0"/>
                <w:sz w:val="24"/>
              </w:rPr>
              <w:t>社会公益组织</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宋体"/>
                <w:kern w:val="0"/>
                <w:sz w:val="24"/>
              </w:rPr>
              <w:t>法律服务机构</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宋体"/>
                <w:kern w:val="0"/>
                <w:sz w:val="24"/>
              </w:rPr>
              <w:t>其他</w:t>
            </w:r>
          </w:p>
        </w:tc>
        <w:tc>
          <w:tcPr>
            <w:tcW w:w="456" w:type="dxa"/>
            <w:vMerge w:val="continue"/>
            <w:noWrap w:val="0"/>
            <w:tcMar>
              <w:left w:w="108" w:type="dxa"/>
              <w:right w:w="108" w:type="dxa"/>
            </w:tcMar>
            <w:vAlign w:val="center"/>
          </w:tcPr>
          <w:p>
            <w:pPr>
              <w:spacing w:line="26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 w:hRule="atLeast"/>
          <w:jc w:val="center"/>
        </w:trPr>
        <w:tc>
          <w:tcPr>
            <w:tcW w:w="5010" w:type="dxa"/>
            <w:gridSpan w:val="3"/>
            <w:noWrap w:val="0"/>
            <w:tcMar>
              <w:left w:w="108" w:type="dxa"/>
              <w:right w:w="108" w:type="dxa"/>
            </w:tcMar>
            <w:vAlign w:val="center"/>
          </w:tcPr>
          <w:p>
            <w:pPr>
              <w:widowControl/>
              <w:spacing w:after="144" w:line="260" w:lineRule="exact"/>
              <w:jc w:val="left"/>
              <w:rPr>
                <w:rFonts w:ascii="Times New Roman" w:hAnsi="Times New Roman"/>
                <w:sz w:val="24"/>
              </w:rPr>
            </w:pPr>
            <w:r>
              <w:rPr>
                <w:rFonts w:hint="eastAsia" w:ascii="Times New Roman" w:hAnsi="Times New Roman" w:cs="宋体"/>
                <w:kern w:val="0"/>
                <w:sz w:val="24"/>
              </w:rPr>
              <w:t>一、本年新收政府信息公开申请数量</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noWrap w:val="0"/>
            <w:tcMar>
              <w:left w:w="108" w:type="dxa"/>
              <w:right w:w="108" w:type="dxa"/>
            </w:tcMar>
            <w:vAlign w:val="center"/>
          </w:tcPr>
          <w:p>
            <w:pPr>
              <w:widowControl/>
              <w:spacing w:after="144" w:line="260" w:lineRule="exact"/>
              <w:jc w:val="left"/>
              <w:rPr>
                <w:rFonts w:ascii="Times New Roman" w:hAnsi="Times New Roman"/>
                <w:sz w:val="24"/>
              </w:rPr>
            </w:pPr>
            <w:r>
              <w:rPr>
                <w:rFonts w:hint="eastAsia" w:ascii="Times New Roman" w:hAnsi="Times New Roman" w:cs="宋体"/>
                <w:kern w:val="0"/>
                <w:sz w:val="24"/>
              </w:rPr>
              <w:t>二、上年结转政府信息公开申请数量</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697" w:type="dxa"/>
            <w:vMerge w:val="restart"/>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宋体"/>
                <w:kern w:val="0"/>
                <w:sz w:val="24"/>
              </w:rPr>
              <w:t>三、本年度办理结果</w:t>
            </w:r>
          </w:p>
        </w:tc>
        <w:tc>
          <w:tcPr>
            <w:tcW w:w="4313" w:type="dxa"/>
            <w:gridSpan w:val="2"/>
            <w:noWrap w:val="0"/>
            <w:tcMar>
              <w:left w:w="108" w:type="dxa"/>
              <w:right w:w="108" w:type="dxa"/>
            </w:tcMar>
            <w:vAlign w:val="center"/>
          </w:tcPr>
          <w:p>
            <w:pPr>
              <w:widowControl/>
              <w:spacing w:after="144" w:line="260" w:lineRule="exact"/>
              <w:jc w:val="left"/>
              <w:rPr>
                <w:rFonts w:ascii="Times New Roman" w:hAnsi="Times New Roman"/>
                <w:sz w:val="24"/>
              </w:rPr>
            </w:pPr>
            <w:r>
              <w:rPr>
                <w:rFonts w:hint="eastAsia" w:ascii="Times New Roman" w:hAnsi="Times New Roman" w:eastAsia="楷体" w:cs="楷体"/>
                <w:kern w:val="0"/>
                <w:sz w:val="24"/>
              </w:rPr>
              <w:t>（一）予以公开</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4313" w:type="dxa"/>
            <w:gridSpan w:val="2"/>
            <w:noWrap w:val="0"/>
            <w:tcMar>
              <w:left w:w="108" w:type="dxa"/>
              <w:right w:w="108" w:type="dxa"/>
            </w:tcMar>
            <w:vAlign w:val="center"/>
          </w:tcPr>
          <w:p>
            <w:pPr>
              <w:widowControl/>
              <w:spacing w:after="144" w:line="260" w:lineRule="exact"/>
              <w:jc w:val="left"/>
              <w:rPr>
                <w:rFonts w:ascii="Times New Roman" w:hAnsi="Times New Roman"/>
                <w:sz w:val="24"/>
              </w:rPr>
            </w:pPr>
            <w:r>
              <w:rPr>
                <w:rFonts w:hint="eastAsia" w:ascii="Times New Roman" w:hAnsi="Times New Roman" w:eastAsia="楷体" w:cs="楷体"/>
                <w:kern w:val="0"/>
                <w:sz w:val="24"/>
              </w:rPr>
              <w:t>（二）部分公开（区分处理的，只计这一情形，不计其他情形）</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restart"/>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（三）不予公开</w:t>
            </w:r>
          </w:p>
        </w:tc>
        <w:tc>
          <w:tcPr>
            <w:tcW w:w="3377" w:type="dxa"/>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1.属于国家秘密</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continue"/>
            <w:noWrap w:val="0"/>
            <w:tcMar>
              <w:left w:w="108" w:type="dxa"/>
              <w:right w:w="108" w:type="dxa"/>
            </w:tcMar>
            <w:vAlign w:val="center"/>
          </w:tcPr>
          <w:p>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2.其他法律行政法规禁止公开</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continue"/>
            <w:noWrap w:val="0"/>
            <w:tcMar>
              <w:left w:w="108" w:type="dxa"/>
              <w:right w:w="108" w:type="dxa"/>
            </w:tcMar>
            <w:vAlign w:val="center"/>
          </w:tcPr>
          <w:p>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3.危及“三安全一稳定”</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continue"/>
            <w:noWrap w:val="0"/>
            <w:tcMar>
              <w:left w:w="108" w:type="dxa"/>
              <w:right w:w="108" w:type="dxa"/>
            </w:tcMar>
            <w:vAlign w:val="center"/>
          </w:tcPr>
          <w:p>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4.保护第三方合法权益</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continue"/>
            <w:noWrap w:val="0"/>
            <w:tcMar>
              <w:left w:w="108" w:type="dxa"/>
              <w:right w:w="108" w:type="dxa"/>
            </w:tcMar>
            <w:vAlign w:val="center"/>
          </w:tcPr>
          <w:p>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5.属于三类内部事务信息</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continue"/>
            <w:noWrap w:val="0"/>
            <w:tcMar>
              <w:left w:w="108" w:type="dxa"/>
              <w:right w:w="108" w:type="dxa"/>
            </w:tcMar>
            <w:vAlign w:val="center"/>
          </w:tcPr>
          <w:p>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6.属于四类过程性信息</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continue"/>
            <w:noWrap w:val="0"/>
            <w:tcMar>
              <w:left w:w="108" w:type="dxa"/>
              <w:right w:w="108" w:type="dxa"/>
            </w:tcMar>
            <w:vAlign w:val="center"/>
          </w:tcPr>
          <w:p>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7.属于行政执法案卷</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 w:hRule="atLeast"/>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continue"/>
            <w:noWrap w:val="0"/>
            <w:tcMar>
              <w:left w:w="108" w:type="dxa"/>
              <w:right w:w="108" w:type="dxa"/>
            </w:tcMar>
            <w:vAlign w:val="center"/>
          </w:tcPr>
          <w:p>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8.属于行政查询事项</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restart"/>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（四）无法提供</w:t>
            </w:r>
          </w:p>
        </w:tc>
        <w:tc>
          <w:tcPr>
            <w:tcW w:w="3377" w:type="dxa"/>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1.本机关不掌握相关政府信息</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continue"/>
            <w:noWrap w:val="0"/>
            <w:tcMar>
              <w:left w:w="108" w:type="dxa"/>
              <w:right w:w="108" w:type="dxa"/>
            </w:tcMar>
            <w:vAlign w:val="center"/>
          </w:tcPr>
          <w:p>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2.没有现成信息需要另行制作</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continue"/>
            <w:noWrap w:val="0"/>
            <w:tcMar>
              <w:left w:w="108" w:type="dxa"/>
              <w:right w:w="108" w:type="dxa"/>
            </w:tcMar>
            <w:vAlign w:val="center"/>
          </w:tcPr>
          <w:p>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3.补正后申请内容仍不明确</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restart"/>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（五）不予处理</w:t>
            </w:r>
          </w:p>
        </w:tc>
        <w:tc>
          <w:tcPr>
            <w:tcW w:w="3377" w:type="dxa"/>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1.信访举报投诉类申请</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continue"/>
            <w:noWrap w:val="0"/>
            <w:tcMar>
              <w:left w:w="108" w:type="dxa"/>
              <w:right w:w="108" w:type="dxa"/>
            </w:tcMar>
            <w:vAlign w:val="center"/>
          </w:tcPr>
          <w:p>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2.重复申请</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continue"/>
            <w:noWrap w:val="0"/>
            <w:tcMar>
              <w:left w:w="108" w:type="dxa"/>
              <w:right w:w="108" w:type="dxa"/>
            </w:tcMar>
            <w:vAlign w:val="center"/>
          </w:tcPr>
          <w:p>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3.要求提供公开出版物</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continue"/>
            <w:noWrap w:val="0"/>
            <w:tcMar>
              <w:left w:w="108" w:type="dxa"/>
              <w:right w:w="108" w:type="dxa"/>
            </w:tcMar>
            <w:vAlign w:val="center"/>
          </w:tcPr>
          <w:p>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4.无正当理由大量反复申请</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continue"/>
            <w:noWrap w:val="0"/>
            <w:tcMar>
              <w:left w:w="108" w:type="dxa"/>
              <w:right w:w="108" w:type="dxa"/>
            </w:tcMar>
            <w:vAlign w:val="center"/>
          </w:tcPr>
          <w:p>
            <w:pPr>
              <w:spacing w:line="260" w:lineRule="exact"/>
              <w:rPr>
                <w:rFonts w:hint="eastAsia" w:ascii="楷体_GB2312" w:hAnsi="Times New Roman" w:eastAsia="楷体_GB2312"/>
                <w:sz w:val="24"/>
              </w:rPr>
            </w:pPr>
          </w:p>
        </w:tc>
        <w:tc>
          <w:tcPr>
            <w:tcW w:w="3377" w:type="dxa"/>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5.要求行政机关确认或重新出具已获取信息</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1" w:hRule="atLeast"/>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restart"/>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（六）其他处理</w:t>
            </w:r>
          </w:p>
        </w:tc>
        <w:tc>
          <w:tcPr>
            <w:tcW w:w="3377" w:type="dxa"/>
            <w:noWrap w:val="0"/>
            <w:tcMar>
              <w:left w:w="108" w:type="dxa"/>
              <w:right w:w="108" w:type="dxa"/>
            </w:tcMar>
            <w:vAlign w:val="center"/>
          </w:tcPr>
          <w:p>
            <w:pPr>
              <w:widowControl/>
              <w:spacing w:after="144" w:line="260" w:lineRule="exact"/>
              <w:jc w:val="left"/>
              <w:rPr>
                <w:rFonts w:hint="default" w:ascii="楷体_GB2312" w:hAnsi="Times New Roman" w:eastAsia="楷体_GB2312" w:cs="楷体"/>
                <w:kern w:val="0"/>
                <w:sz w:val="24"/>
                <w:lang w:val="en-US" w:eastAsia="zh-CN"/>
              </w:rPr>
            </w:pPr>
            <w:r>
              <w:rPr>
                <w:rFonts w:hint="eastAsia" w:ascii="楷体_GB2312" w:hAnsi="Times New Roman" w:eastAsia="楷体_GB2312" w:cs="楷体"/>
                <w:kern w:val="0"/>
                <w:sz w:val="24"/>
                <w:lang w:val="en-US" w:eastAsia="zh-CN"/>
              </w:rPr>
              <w:t>1.申请人无正当理由逾期不补正、行政机关不再处理其政府信息公开申请。</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continue"/>
            <w:noWrap w:val="0"/>
            <w:tcMar>
              <w:left w:w="108" w:type="dxa"/>
              <w:right w:w="108" w:type="dxa"/>
            </w:tcMar>
            <w:vAlign w:val="center"/>
          </w:tcPr>
          <w:p>
            <w:pPr>
              <w:widowControl/>
              <w:spacing w:after="144" w:line="260" w:lineRule="exact"/>
              <w:jc w:val="left"/>
              <w:rPr>
                <w:rFonts w:hint="eastAsia" w:ascii="楷体_GB2312" w:hAnsi="Times New Roman" w:eastAsia="楷体_GB2312" w:cs="楷体"/>
                <w:kern w:val="0"/>
                <w:sz w:val="24"/>
              </w:rPr>
            </w:pPr>
          </w:p>
        </w:tc>
        <w:tc>
          <w:tcPr>
            <w:tcW w:w="3377" w:type="dxa"/>
            <w:noWrap w:val="0"/>
            <w:tcMar>
              <w:left w:w="108" w:type="dxa"/>
              <w:right w:w="108" w:type="dxa"/>
            </w:tcMar>
            <w:vAlign w:val="center"/>
          </w:tcPr>
          <w:p>
            <w:pPr>
              <w:widowControl/>
              <w:spacing w:after="144" w:line="260" w:lineRule="exact"/>
              <w:jc w:val="left"/>
              <w:rPr>
                <w:rFonts w:hint="default" w:ascii="楷体_GB2312" w:hAnsi="Times New Roman" w:eastAsia="楷体_GB2312" w:cs="楷体"/>
                <w:kern w:val="0"/>
                <w:sz w:val="24"/>
                <w:lang w:val="en-US" w:eastAsia="zh-CN"/>
              </w:rPr>
            </w:pPr>
            <w:r>
              <w:rPr>
                <w:rFonts w:hint="eastAsia" w:ascii="楷体_GB2312" w:hAnsi="Times New Roman" w:eastAsia="楷体_GB2312" w:cs="楷体"/>
                <w:kern w:val="0"/>
                <w:sz w:val="24"/>
                <w:lang w:val="en-US" w:eastAsia="zh-CN"/>
              </w:rPr>
              <w:t>2.申请人逾期未按收费通知要求缴纳费用、行政机关不再处理其政府信息公开申请。</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936" w:type="dxa"/>
            <w:vMerge w:val="continue"/>
            <w:noWrap w:val="0"/>
            <w:tcMar>
              <w:left w:w="108" w:type="dxa"/>
              <w:right w:w="108" w:type="dxa"/>
            </w:tcMar>
            <w:vAlign w:val="center"/>
          </w:tcPr>
          <w:p>
            <w:pPr>
              <w:widowControl/>
              <w:spacing w:after="144" w:line="260" w:lineRule="exact"/>
              <w:jc w:val="left"/>
              <w:rPr>
                <w:rFonts w:hint="eastAsia" w:ascii="楷体_GB2312" w:hAnsi="Times New Roman" w:eastAsia="楷体_GB2312" w:cs="楷体"/>
                <w:kern w:val="0"/>
                <w:sz w:val="24"/>
              </w:rPr>
            </w:pPr>
          </w:p>
        </w:tc>
        <w:tc>
          <w:tcPr>
            <w:tcW w:w="3377" w:type="dxa"/>
            <w:noWrap w:val="0"/>
            <w:tcMar>
              <w:left w:w="108" w:type="dxa"/>
              <w:right w:w="108" w:type="dxa"/>
            </w:tcMar>
            <w:vAlign w:val="center"/>
          </w:tcPr>
          <w:p>
            <w:pPr>
              <w:widowControl/>
              <w:spacing w:after="144" w:line="260" w:lineRule="exact"/>
              <w:jc w:val="left"/>
              <w:rPr>
                <w:rFonts w:hint="default" w:ascii="楷体_GB2312" w:hAnsi="Times New Roman" w:eastAsia="楷体_GB2312" w:cs="楷体"/>
                <w:kern w:val="0"/>
                <w:sz w:val="24"/>
                <w:lang w:val="en-US" w:eastAsia="zh-CN"/>
              </w:rPr>
            </w:pPr>
            <w:r>
              <w:rPr>
                <w:rFonts w:hint="eastAsia" w:ascii="楷体_GB2312" w:hAnsi="Times New Roman" w:eastAsia="楷体_GB2312" w:cs="楷体"/>
                <w:kern w:val="0"/>
                <w:sz w:val="24"/>
                <w:lang w:val="en-US" w:eastAsia="zh-CN"/>
              </w:rPr>
              <w:t>3.其他</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cs="Calibri"/>
                <w:kern w:val="0"/>
                <w:sz w:val="24"/>
                <w:lang w:val="en-US" w:eastAsia="zh-CN"/>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 w:hRule="atLeast"/>
          <w:jc w:val="center"/>
        </w:trPr>
        <w:tc>
          <w:tcPr>
            <w:tcW w:w="697" w:type="dxa"/>
            <w:vMerge w:val="continue"/>
            <w:noWrap w:val="0"/>
            <w:tcMar>
              <w:left w:w="108" w:type="dxa"/>
              <w:right w:w="108" w:type="dxa"/>
            </w:tcMar>
            <w:vAlign w:val="center"/>
          </w:tcPr>
          <w:p>
            <w:pPr>
              <w:spacing w:line="260" w:lineRule="exact"/>
              <w:rPr>
                <w:rFonts w:ascii="Times New Roman" w:hAnsi="Times New Roman"/>
                <w:sz w:val="24"/>
              </w:rPr>
            </w:pPr>
          </w:p>
        </w:tc>
        <w:tc>
          <w:tcPr>
            <w:tcW w:w="4313" w:type="dxa"/>
            <w:gridSpan w:val="2"/>
            <w:noWrap w:val="0"/>
            <w:tcMar>
              <w:left w:w="108" w:type="dxa"/>
              <w:right w:w="108" w:type="dxa"/>
            </w:tcMar>
            <w:vAlign w:val="center"/>
          </w:tcPr>
          <w:p>
            <w:pPr>
              <w:widowControl/>
              <w:spacing w:after="144" w:line="260" w:lineRule="exact"/>
              <w:jc w:val="left"/>
              <w:rPr>
                <w:rFonts w:hint="eastAsia" w:ascii="楷体_GB2312" w:hAnsi="Times New Roman" w:eastAsia="楷体_GB2312"/>
                <w:sz w:val="24"/>
              </w:rPr>
            </w:pPr>
            <w:r>
              <w:rPr>
                <w:rFonts w:hint="eastAsia" w:ascii="楷体_GB2312" w:hAnsi="Times New Roman" w:eastAsia="楷体_GB2312" w:cs="楷体"/>
                <w:kern w:val="0"/>
                <w:sz w:val="24"/>
              </w:rPr>
              <w:t>（七）总计</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noWrap w:val="0"/>
            <w:tcMar>
              <w:left w:w="108" w:type="dxa"/>
              <w:right w:w="108" w:type="dxa"/>
            </w:tcMar>
            <w:vAlign w:val="center"/>
          </w:tcPr>
          <w:p>
            <w:pPr>
              <w:widowControl/>
              <w:spacing w:after="144" w:line="260" w:lineRule="exact"/>
              <w:jc w:val="left"/>
              <w:rPr>
                <w:rFonts w:ascii="Times New Roman" w:hAnsi="Times New Roman"/>
                <w:sz w:val="24"/>
              </w:rPr>
            </w:pPr>
            <w:r>
              <w:rPr>
                <w:rFonts w:hint="eastAsia" w:ascii="Times New Roman" w:hAnsi="Times New Roman" w:cs="宋体"/>
                <w:kern w:val="0"/>
                <w:sz w:val="24"/>
              </w:rPr>
              <w:t>四、结转下年度继续办理</w:t>
            </w:r>
          </w:p>
        </w:tc>
        <w:tc>
          <w:tcPr>
            <w:tcW w:w="45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hint="eastAsia" w:ascii="Times New Roman" w:hAnsi="Times New Roman" w:eastAsia="宋体"/>
                <w:sz w:val="24"/>
                <w:lang w:val="en-US" w:eastAsia="zh-CN"/>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707"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65" w:type="dxa"/>
            <w:noWrap w:val="0"/>
            <w:tcMar>
              <w:left w:w="108" w:type="dxa"/>
              <w:right w:w="108" w:type="dxa"/>
            </w:tcMar>
            <w:vAlign w:val="center"/>
          </w:tcPr>
          <w:p>
            <w:pPr>
              <w:widowControl/>
              <w:spacing w:after="144" w:line="260" w:lineRule="exact"/>
              <w:jc w:val="center"/>
              <w:rPr>
                <w:rFonts w:ascii="Times New Roman" w:hAnsi="Times New Roman"/>
                <w:sz w:val="24"/>
              </w:rPr>
            </w:pPr>
            <w:r>
              <w:rPr>
                <w:rFonts w:hint="eastAsia" w:ascii="Times New Roman" w:hAnsi="Times New Roman" w:cs="Calibri"/>
                <w:kern w:val="0"/>
                <w:sz w:val="24"/>
                <w:lang w:val="en-US" w:eastAsia="zh-CN"/>
              </w:rPr>
              <w:t>0</w:t>
            </w:r>
          </w:p>
        </w:tc>
        <w:tc>
          <w:tcPr>
            <w:tcW w:w="456" w:type="dxa"/>
            <w:noWrap w:val="0"/>
            <w:tcMar>
              <w:left w:w="108" w:type="dxa"/>
              <w:right w:w="108" w:type="dxa"/>
            </w:tcMar>
            <w:vAlign w:val="center"/>
          </w:tcPr>
          <w:p>
            <w:pPr>
              <w:spacing w:line="260" w:lineRule="exact"/>
              <w:jc w:val="center"/>
              <w:rPr>
                <w:rFonts w:ascii="Times New Roman" w:hAnsi="Times New Roman"/>
                <w:sz w:val="24"/>
              </w:rPr>
            </w:pPr>
            <w:r>
              <w:rPr>
                <w:rFonts w:hint="eastAsia" w:ascii="Times New Roman" w:hAnsi="Times New Roman" w:cs="Calibri"/>
                <w:kern w:val="0"/>
                <w:sz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ascii="Times New Roman" w:hAnsi="Times New Roman" w:eastAsia="黑体" w:cs="宋体"/>
          <w:sz w:val="32"/>
          <w:szCs w:val="32"/>
        </w:rPr>
      </w:pPr>
      <w:r>
        <w:rPr>
          <w:rFonts w:hint="eastAsia" w:ascii="Times New Roman" w:hAnsi="Times New Roman" w:eastAsia="黑体" w:cs="宋体"/>
          <w:sz w:val="32"/>
          <w:szCs w:val="32"/>
        </w:rPr>
        <w:t>四、政府信息公开行政复议、行政诉讼情况</w:t>
      </w:r>
    </w:p>
    <w:tbl>
      <w:tblPr>
        <w:tblStyle w:val="5"/>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jc w:val="center"/>
        </w:trPr>
        <w:tc>
          <w:tcPr>
            <w:tcW w:w="3695" w:type="dxa"/>
            <w:gridSpan w:val="5"/>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行政复议</w:t>
            </w:r>
          </w:p>
        </w:tc>
        <w:tc>
          <w:tcPr>
            <w:tcW w:w="5732" w:type="dxa"/>
            <w:gridSpan w:val="10"/>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restart"/>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结果维持</w:t>
            </w:r>
          </w:p>
        </w:tc>
        <w:tc>
          <w:tcPr>
            <w:tcW w:w="851" w:type="dxa"/>
            <w:vMerge w:val="restart"/>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结果纠正</w:t>
            </w:r>
          </w:p>
        </w:tc>
        <w:tc>
          <w:tcPr>
            <w:tcW w:w="836" w:type="dxa"/>
            <w:vMerge w:val="restart"/>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其他结果</w:t>
            </w:r>
          </w:p>
        </w:tc>
        <w:tc>
          <w:tcPr>
            <w:tcW w:w="706" w:type="dxa"/>
            <w:vMerge w:val="restart"/>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尚未审结</w:t>
            </w:r>
          </w:p>
        </w:tc>
        <w:tc>
          <w:tcPr>
            <w:tcW w:w="456" w:type="dxa"/>
            <w:vMerge w:val="restart"/>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总计</w:t>
            </w:r>
          </w:p>
        </w:tc>
        <w:tc>
          <w:tcPr>
            <w:tcW w:w="3368" w:type="dxa"/>
            <w:gridSpan w:val="5"/>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未经复议直接起诉</w:t>
            </w:r>
          </w:p>
        </w:tc>
        <w:tc>
          <w:tcPr>
            <w:tcW w:w="2364" w:type="dxa"/>
            <w:gridSpan w:val="5"/>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continue"/>
            <w:tcBorders>
              <w:top w:val="nil"/>
            </w:tcBorders>
            <w:noWrap w:val="0"/>
            <w:tcMar>
              <w:left w:w="108" w:type="dxa"/>
              <w:right w:w="108" w:type="dxa"/>
            </w:tcMar>
            <w:vAlign w:val="center"/>
          </w:tcPr>
          <w:p>
            <w:pPr>
              <w:widowControl/>
              <w:spacing w:after="144" w:line="260" w:lineRule="exact"/>
              <w:jc w:val="center"/>
              <w:rPr>
                <w:rFonts w:ascii="Times New Roman" w:hAnsi="Times New Roman" w:cs="宋体"/>
                <w:kern w:val="0"/>
                <w:sz w:val="24"/>
              </w:rPr>
            </w:pPr>
          </w:p>
        </w:tc>
        <w:tc>
          <w:tcPr>
            <w:tcW w:w="851" w:type="dxa"/>
            <w:vMerge w:val="continue"/>
            <w:noWrap w:val="0"/>
            <w:tcMar>
              <w:left w:w="108" w:type="dxa"/>
              <w:right w:w="108" w:type="dxa"/>
            </w:tcMar>
            <w:vAlign w:val="center"/>
          </w:tcPr>
          <w:p>
            <w:pPr>
              <w:widowControl/>
              <w:spacing w:after="144" w:line="260" w:lineRule="exact"/>
              <w:jc w:val="center"/>
              <w:rPr>
                <w:rFonts w:ascii="Times New Roman" w:hAnsi="Times New Roman" w:cs="宋体"/>
                <w:kern w:val="0"/>
                <w:sz w:val="24"/>
              </w:rPr>
            </w:pPr>
          </w:p>
        </w:tc>
        <w:tc>
          <w:tcPr>
            <w:tcW w:w="836" w:type="dxa"/>
            <w:vMerge w:val="continue"/>
            <w:noWrap w:val="0"/>
            <w:tcMar>
              <w:left w:w="108" w:type="dxa"/>
              <w:right w:w="108" w:type="dxa"/>
            </w:tcMar>
            <w:vAlign w:val="center"/>
          </w:tcPr>
          <w:p>
            <w:pPr>
              <w:widowControl/>
              <w:spacing w:after="144" w:line="260" w:lineRule="exact"/>
              <w:jc w:val="center"/>
              <w:rPr>
                <w:rFonts w:ascii="Times New Roman" w:hAnsi="Times New Roman" w:cs="宋体"/>
                <w:kern w:val="0"/>
                <w:sz w:val="24"/>
              </w:rPr>
            </w:pPr>
          </w:p>
        </w:tc>
        <w:tc>
          <w:tcPr>
            <w:tcW w:w="706" w:type="dxa"/>
            <w:vMerge w:val="continue"/>
            <w:noWrap w:val="0"/>
            <w:tcMar>
              <w:left w:w="108" w:type="dxa"/>
              <w:right w:w="108" w:type="dxa"/>
            </w:tcMar>
            <w:vAlign w:val="center"/>
          </w:tcPr>
          <w:p>
            <w:pPr>
              <w:widowControl/>
              <w:spacing w:after="144" w:line="260" w:lineRule="exact"/>
              <w:jc w:val="center"/>
              <w:rPr>
                <w:rFonts w:ascii="Times New Roman" w:hAnsi="Times New Roman" w:cs="宋体"/>
                <w:kern w:val="0"/>
                <w:sz w:val="24"/>
              </w:rPr>
            </w:pPr>
          </w:p>
        </w:tc>
        <w:tc>
          <w:tcPr>
            <w:tcW w:w="456" w:type="dxa"/>
            <w:vMerge w:val="continue"/>
            <w:noWrap w:val="0"/>
            <w:tcMar>
              <w:left w:w="108" w:type="dxa"/>
              <w:right w:w="108" w:type="dxa"/>
            </w:tcMar>
            <w:vAlign w:val="center"/>
          </w:tcPr>
          <w:p>
            <w:pPr>
              <w:widowControl/>
              <w:spacing w:after="144" w:line="260" w:lineRule="exact"/>
              <w:jc w:val="center"/>
              <w:rPr>
                <w:rFonts w:ascii="Times New Roman" w:hAnsi="Times New Roman" w:cs="宋体"/>
                <w:kern w:val="0"/>
                <w:sz w:val="24"/>
              </w:rPr>
            </w:pPr>
          </w:p>
        </w:tc>
        <w:tc>
          <w:tcPr>
            <w:tcW w:w="706" w:type="dxa"/>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结果维持</w:t>
            </w:r>
          </w:p>
        </w:tc>
        <w:tc>
          <w:tcPr>
            <w:tcW w:w="706" w:type="dxa"/>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结果纠正</w:t>
            </w:r>
          </w:p>
        </w:tc>
        <w:tc>
          <w:tcPr>
            <w:tcW w:w="711" w:type="dxa"/>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其他结果</w:t>
            </w:r>
          </w:p>
        </w:tc>
        <w:tc>
          <w:tcPr>
            <w:tcW w:w="789" w:type="dxa"/>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尚未审结</w:t>
            </w:r>
          </w:p>
        </w:tc>
        <w:tc>
          <w:tcPr>
            <w:tcW w:w="456" w:type="dxa"/>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总计</w:t>
            </w:r>
          </w:p>
        </w:tc>
        <w:tc>
          <w:tcPr>
            <w:tcW w:w="456" w:type="dxa"/>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结果维持</w:t>
            </w:r>
          </w:p>
        </w:tc>
        <w:tc>
          <w:tcPr>
            <w:tcW w:w="527" w:type="dxa"/>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结果纠正</w:t>
            </w:r>
          </w:p>
        </w:tc>
        <w:tc>
          <w:tcPr>
            <w:tcW w:w="456" w:type="dxa"/>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其他结果</w:t>
            </w:r>
          </w:p>
        </w:tc>
        <w:tc>
          <w:tcPr>
            <w:tcW w:w="469" w:type="dxa"/>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尚未审结</w:t>
            </w:r>
          </w:p>
        </w:tc>
        <w:tc>
          <w:tcPr>
            <w:tcW w:w="456" w:type="dxa"/>
            <w:noWrap w:val="0"/>
            <w:tcMar>
              <w:left w:w="108" w:type="dxa"/>
              <w:right w:w="108" w:type="dxa"/>
            </w:tcMar>
            <w:vAlign w:val="center"/>
          </w:tcPr>
          <w:p>
            <w:pPr>
              <w:widowControl/>
              <w:spacing w:after="144" w:line="260" w:lineRule="exact"/>
              <w:jc w:val="center"/>
              <w:rPr>
                <w:rFonts w:ascii="Times New Roman" w:hAnsi="Times New Roman" w:cs="宋体"/>
                <w:kern w:val="0"/>
                <w:sz w:val="24"/>
              </w:rPr>
            </w:pPr>
            <w:r>
              <w:rPr>
                <w:rFonts w:hint="eastAsia" w:ascii="Times New Roman" w:hAnsi="Times New Roman"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noWrap w:val="0"/>
            <w:tcMar>
              <w:left w:w="108" w:type="dxa"/>
              <w:right w:w="108" w:type="dxa"/>
            </w:tcMar>
            <w:vAlign w:val="center"/>
          </w:tcPr>
          <w:p>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851" w:type="dxa"/>
            <w:noWrap w:val="0"/>
            <w:tcMar>
              <w:left w:w="108" w:type="dxa"/>
              <w:right w:w="108" w:type="dxa"/>
            </w:tcMar>
            <w:vAlign w:val="center"/>
          </w:tcPr>
          <w:p>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836" w:type="dxa"/>
            <w:noWrap w:val="0"/>
            <w:tcMar>
              <w:left w:w="108" w:type="dxa"/>
              <w:right w:w="108" w:type="dxa"/>
            </w:tcMar>
            <w:vAlign w:val="center"/>
          </w:tcPr>
          <w:p>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706" w:type="dxa"/>
            <w:noWrap w:val="0"/>
            <w:tcMar>
              <w:left w:w="108" w:type="dxa"/>
              <w:right w:w="108" w:type="dxa"/>
            </w:tcMar>
            <w:vAlign w:val="center"/>
          </w:tcPr>
          <w:p>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711" w:type="dxa"/>
            <w:noWrap w:val="0"/>
            <w:tcMar>
              <w:left w:w="108" w:type="dxa"/>
              <w:right w:w="108" w:type="dxa"/>
            </w:tcMar>
            <w:vAlign w:val="center"/>
          </w:tcPr>
          <w:p>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789" w:type="dxa"/>
            <w:noWrap w:val="0"/>
            <w:tcMar>
              <w:left w:w="108" w:type="dxa"/>
              <w:right w:w="108" w:type="dxa"/>
            </w:tcMar>
            <w:vAlign w:val="center"/>
          </w:tcPr>
          <w:p>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527" w:type="dxa"/>
            <w:noWrap w:val="0"/>
            <w:tcMar>
              <w:left w:w="108" w:type="dxa"/>
              <w:right w:w="108" w:type="dxa"/>
            </w:tcMar>
            <w:vAlign w:val="center"/>
          </w:tcPr>
          <w:p>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456" w:type="dxa"/>
            <w:noWrap w:val="0"/>
            <w:tcMar>
              <w:left w:w="108" w:type="dxa"/>
              <w:right w:w="108" w:type="dxa"/>
            </w:tcMar>
            <w:vAlign w:val="center"/>
          </w:tcPr>
          <w:p>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469" w:type="dxa"/>
            <w:noWrap w:val="0"/>
            <w:tcMar>
              <w:left w:w="108" w:type="dxa"/>
              <w:right w:w="108" w:type="dxa"/>
            </w:tcMar>
            <w:vAlign w:val="center"/>
          </w:tcPr>
          <w:p>
            <w:pPr>
              <w:widowControl/>
              <w:spacing w:after="144"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c>
          <w:tcPr>
            <w:tcW w:w="456" w:type="dxa"/>
            <w:noWrap w:val="0"/>
            <w:tcMar>
              <w:left w:w="108" w:type="dxa"/>
              <w:right w:w="108" w:type="dxa"/>
            </w:tcMar>
            <w:vAlign w:val="center"/>
          </w:tcPr>
          <w:p>
            <w:pPr>
              <w:spacing w:line="260" w:lineRule="exact"/>
              <w:jc w:val="center"/>
              <w:rPr>
                <w:rFonts w:hint="eastAsia" w:ascii="Times New Roman" w:hAnsi="Times New Roman" w:eastAsia="宋体" w:cs="宋体"/>
                <w:kern w:val="0"/>
                <w:sz w:val="24"/>
                <w:lang w:val="en-US" w:eastAsia="zh-CN"/>
              </w:rPr>
            </w:pPr>
            <w:r>
              <w:rPr>
                <w:rFonts w:hint="eastAsia" w:ascii="Times New Roman" w:hAnsi="Times New Roman" w:cs="宋体"/>
                <w:kern w:val="0"/>
                <w:sz w:val="24"/>
                <w:lang w:val="en-US" w:eastAsia="zh-CN"/>
              </w:rPr>
              <w:t>0</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cs="宋体"/>
          <w:sz w:val="32"/>
          <w:szCs w:val="32"/>
        </w:rPr>
      </w:pPr>
      <w:r>
        <w:rPr>
          <w:rFonts w:hint="eastAsia" w:ascii="Times New Roman" w:hAnsi="Times New Roman" w:eastAsia="黑体" w:cs="宋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（一）存在的主要问题</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_GB2312" w:cs="宋体"/>
          <w:b w:val="0"/>
          <w:bCs w:val="0"/>
          <w:sz w:val="32"/>
          <w:szCs w:val="32"/>
        </w:rPr>
      </w:pPr>
      <w:r>
        <w:rPr>
          <w:rFonts w:hint="eastAsia" w:ascii="Times New Roman" w:hAnsi="Times New Roman" w:eastAsia="仿宋_GB2312" w:cs="宋体"/>
          <w:b/>
          <w:bCs/>
          <w:sz w:val="32"/>
          <w:szCs w:val="32"/>
          <w:lang w:val="en-US" w:eastAsia="zh-CN"/>
        </w:rPr>
        <w:t>一是</w:t>
      </w:r>
      <w:r>
        <w:rPr>
          <w:rFonts w:hint="eastAsia" w:ascii="Times New Roman" w:hAnsi="Times New Roman" w:eastAsia="仿宋_GB2312" w:cs="宋体"/>
          <w:b w:val="0"/>
          <w:bCs w:val="0"/>
          <w:sz w:val="32"/>
          <w:szCs w:val="32"/>
        </w:rPr>
        <w:t>政府信息公开工作规范性有待进一步加强</w:t>
      </w:r>
      <w:r>
        <w:rPr>
          <w:rFonts w:hint="eastAsia" w:ascii="Times New Roman" w:hAnsi="Times New Roman" w:eastAsia="仿宋_GB2312" w:cs="宋体"/>
          <w:b w:val="0"/>
          <w:bCs w:val="0"/>
          <w:sz w:val="32"/>
          <w:szCs w:val="32"/>
          <w:lang w:eastAsia="zh-CN"/>
        </w:rPr>
        <w:t>，</w:t>
      </w:r>
      <w:r>
        <w:rPr>
          <w:rFonts w:hint="eastAsia" w:ascii="Times New Roman" w:hAnsi="Times New Roman" w:eastAsia="仿宋_GB2312" w:cs="宋体"/>
          <w:b w:val="0"/>
          <w:bCs w:val="0"/>
          <w:sz w:val="32"/>
          <w:szCs w:val="32"/>
        </w:rPr>
        <w:t>政府信息公开领域有待进一步拓展;</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_GB2312" w:cs="宋体"/>
          <w:b w:val="0"/>
          <w:bCs w:val="0"/>
          <w:sz w:val="32"/>
          <w:szCs w:val="32"/>
        </w:rPr>
      </w:pPr>
      <w:r>
        <w:rPr>
          <w:rFonts w:hint="eastAsia" w:ascii="Times New Roman" w:hAnsi="Times New Roman" w:eastAsia="仿宋_GB2312" w:cs="宋体"/>
          <w:b/>
          <w:bCs/>
          <w:sz w:val="32"/>
          <w:szCs w:val="32"/>
          <w:lang w:val="en-US" w:eastAsia="zh-CN"/>
        </w:rPr>
        <w:t>二是</w:t>
      </w:r>
      <w:r>
        <w:rPr>
          <w:rFonts w:hint="eastAsia" w:ascii="Times New Roman" w:hAnsi="Times New Roman" w:eastAsia="仿宋_GB2312" w:cs="宋体"/>
          <w:b w:val="0"/>
          <w:bCs w:val="0"/>
          <w:sz w:val="32"/>
          <w:szCs w:val="32"/>
        </w:rPr>
        <w:t>政府信息公开工作方式还有待创新，公开形式还需进一步丰富完善。</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（二）改进措施</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_GB2312" w:cs="宋体"/>
          <w:b w:val="0"/>
          <w:bCs w:val="0"/>
          <w:sz w:val="32"/>
          <w:szCs w:val="32"/>
        </w:rPr>
      </w:pPr>
      <w:r>
        <w:rPr>
          <w:rFonts w:hint="eastAsia" w:ascii="Times New Roman" w:hAnsi="Times New Roman" w:eastAsia="仿宋_GB2312" w:cs="宋体"/>
          <w:b/>
          <w:bCs/>
          <w:sz w:val="32"/>
          <w:szCs w:val="32"/>
          <w:lang w:val="en-US" w:eastAsia="zh-CN"/>
        </w:rPr>
        <w:t>一是</w:t>
      </w:r>
      <w:r>
        <w:rPr>
          <w:rFonts w:hint="eastAsia" w:ascii="Times New Roman" w:hAnsi="Times New Roman" w:eastAsia="仿宋_GB2312" w:cs="宋体"/>
          <w:b w:val="0"/>
          <w:bCs w:val="0"/>
          <w:sz w:val="32"/>
          <w:szCs w:val="32"/>
        </w:rPr>
        <w:t>进一步规范信息公开</w:t>
      </w:r>
      <w:r>
        <w:rPr>
          <w:rFonts w:hint="eastAsia" w:ascii="Times New Roman" w:hAnsi="Times New Roman" w:eastAsia="仿宋_GB2312" w:cs="宋体"/>
          <w:b w:val="0"/>
          <w:bCs w:val="0"/>
          <w:sz w:val="32"/>
          <w:szCs w:val="32"/>
          <w:lang w:eastAsia="zh-CN"/>
        </w:rPr>
        <w:t>，</w:t>
      </w:r>
      <w:r>
        <w:rPr>
          <w:rFonts w:hint="eastAsia" w:ascii="Times New Roman" w:hAnsi="Times New Roman" w:eastAsia="仿宋_GB2312" w:cs="宋体"/>
          <w:b w:val="0"/>
          <w:bCs w:val="0"/>
          <w:sz w:val="32"/>
          <w:szCs w:val="32"/>
        </w:rPr>
        <w:t>对</w:t>
      </w:r>
      <w:r>
        <w:rPr>
          <w:rFonts w:hint="eastAsia" w:ascii="Times New Roman" w:hAnsi="Times New Roman" w:eastAsia="仿宋_GB2312" w:cs="宋体"/>
          <w:b w:val="0"/>
          <w:bCs w:val="0"/>
          <w:sz w:val="32"/>
          <w:szCs w:val="32"/>
          <w:lang w:eastAsia="zh-CN"/>
        </w:rPr>
        <w:t>政府</w:t>
      </w:r>
      <w:r>
        <w:rPr>
          <w:rFonts w:hint="eastAsia" w:ascii="Times New Roman" w:hAnsi="Times New Roman" w:eastAsia="仿宋_GB2312" w:cs="宋体"/>
          <w:b w:val="0"/>
          <w:bCs w:val="0"/>
          <w:sz w:val="32"/>
          <w:szCs w:val="32"/>
        </w:rPr>
        <w:t>信息做到及时整理、分类，并及时公开。重点抓好与群众利益密切相关行业的政府信息公开工作，不断丰富公开内容。不断拓展新的公开渠道。创新公开形式,丰富政府信息公开内容，以更加贴近公众，方便群众的形式，向广大公众公布各类政务信息。</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_GB2312" w:cs="宋体"/>
          <w:b w:val="0"/>
          <w:bCs w:val="0"/>
          <w:sz w:val="32"/>
          <w:szCs w:val="32"/>
          <w:lang w:eastAsia="zh-CN"/>
        </w:rPr>
      </w:pPr>
      <w:r>
        <w:rPr>
          <w:rFonts w:hint="eastAsia" w:ascii="Times New Roman" w:hAnsi="Times New Roman" w:eastAsia="仿宋_GB2312" w:cs="宋体"/>
          <w:b/>
          <w:bCs/>
          <w:sz w:val="32"/>
          <w:szCs w:val="32"/>
          <w:lang w:val="en-US" w:eastAsia="zh-CN"/>
        </w:rPr>
        <w:t>二是</w:t>
      </w:r>
      <w:r>
        <w:rPr>
          <w:rFonts w:hint="eastAsia" w:ascii="Times New Roman" w:hAnsi="Times New Roman" w:eastAsia="仿宋_GB2312" w:cs="宋体"/>
          <w:b w:val="0"/>
          <w:bCs w:val="0"/>
          <w:sz w:val="32"/>
          <w:szCs w:val="32"/>
        </w:rPr>
        <w:t>继续强化对相关工作人员的理论培训和业务培训，深化思想认识，提高工作水平。按照“公开为原则，不公开为例外”的总体要求，进一步梳理镇机关以及镇所属单位具有依法行使行政职权的单位所掌握的政府信息，及时公开</w:t>
      </w:r>
      <w:r>
        <w:rPr>
          <w:rFonts w:hint="eastAsia" w:ascii="Times New Roman" w:hAnsi="Times New Roman" w:eastAsia="仿宋_GB2312" w:cs="宋体"/>
          <w:b w:val="0"/>
          <w:bCs w:val="0"/>
          <w:sz w:val="32"/>
          <w:szCs w:val="32"/>
          <w:lang w:eastAsia="zh-CN"/>
        </w:rPr>
        <w:t>，</w:t>
      </w:r>
      <w:r>
        <w:rPr>
          <w:rFonts w:hint="eastAsia" w:ascii="Times New Roman" w:hAnsi="Times New Roman" w:eastAsia="仿宋_GB2312" w:cs="宋体"/>
          <w:b w:val="0"/>
          <w:bCs w:val="0"/>
          <w:sz w:val="32"/>
          <w:szCs w:val="32"/>
        </w:rPr>
        <w:t>定期维护</w:t>
      </w:r>
      <w:r>
        <w:rPr>
          <w:rFonts w:hint="eastAsia" w:ascii="Times New Roman" w:hAnsi="Times New Roman" w:eastAsia="仿宋_GB2312" w:cs="宋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9"/>
        <w:textAlignment w:val="auto"/>
        <w:rPr>
          <w:rFonts w:ascii="Times New Roman" w:hAnsi="Times New Roman" w:eastAsia="黑体" w:cs="宋体"/>
          <w:sz w:val="32"/>
          <w:szCs w:val="32"/>
        </w:rPr>
      </w:pPr>
      <w:r>
        <w:rPr>
          <w:rFonts w:hint="eastAsia" w:ascii="Times New Roman" w:hAnsi="Times New Roman" w:eastAsia="黑体" w:cs="宋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按照《国务院办公厅关于印发〈政府信息公开信息处理费管理办法〉的通知》（国办函〔2020〕109号〕）规定的按件、按量收费标准，本年度没有产生信息公开处理费。</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MTU0OWJlMjU3MGNiYWFlOTg0ZmNkMjAxNmI5OTcifQ=="/>
  </w:docVars>
  <w:rsids>
    <w:rsidRoot w:val="6F055500"/>
    <w:rsid w:val="02635A69"/>
    <w:rsid w:val="06914864"/>
    <w:rsid w:val="0CF32576"/>
    <w:rsid w:val="12F613E2"/>
    <w:rsid w:val="190802F1"/>
    <w:rsid w:val="28656230"/>
    <w:rsid w:val="411D0118"/>
    <w:rsid w:val="49492D47"/>
    <w:rsid w:val="4AB3465A"/>
    <w:rsid w:val="57206BEE"/>
    <w:rsid w:val="5776184B"/>
    <w:rsid w:val="57BB3B5E"/>
    <w:rsid w:val="610B5A10"/>
    <w:rsid w:val="6C1845F2"/>
    <w:rsid w:val="6F055500"/>
    <w:rsid w:val="74E17AA1"/>
    <w:rsid w:val="77B54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next w:val="1"/>
    <w:qFormat/>
    <w:uiPriority w:val="0"/>
    <w:pPr>
      <w:spacing w:before="100" w:beforeAutospacing="1" w:line="480" w:lineRule="auto"/>
      <w:ind w:left="420" w:leftChars="200"/>
    </w:p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2098</Words>
  <Characters>2127</Characters>
  <Lines>0</Lines>
  <Paragraphs>0</Paragraphs>
  <TotalTime>4</TotalTime>
  <ScaleCrop>false</ScaleCrop>
  <LinksUpToDate>false</LinksUpToDate>
  <CharactersWithSpaces>2183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2021-02-03T13:05:00Z</dcterms:created>
  <dc:creator>郭郭</dc:creator>
  <cp:lastModifiedBy>Administrator</cp:lastModifiedBy>
  <cp:lastPrinted>2023-01-30T03:02:00Z</cp:lastPrinted>
  <dcterms:modified xsi:type="dcterms:W3CDTF">2024-02-09T08:35:39Z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3622302CC0F84294941C1D38895746DE_13</vt:lpwstr>
  </property>
</Properties>
</file>