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i w:val="0"/>
          <w:caps w:val="0"/>
          <w:color w:val="222222"/>
          <w:spacing w:val="0"/>
          <w:sz w:val="44"/>
          <w:szCs w:val="44"/>
          <w:shd w:val="clear" w:fill="FFFFFF"/>
        </w:rPr>
      </w:pPr>
      <w:r>
        <w:rPr>
          <w:rFonts w:hint="eastAsia" w:ascii="方正小标宋简体" w:hAnsi="方正小标宋简体" w:eastAsia="方正小标宋简体" w:cs="方正小标宋简体"/>
          <w:b w:val="0"/>
          <w:bCs/>
          <w:i w:val="0"/>
          <w:caps w:val="0"/>
          <w:color w:val="222222"/>
          <w:spacing w:val="0"/>
          <w:sz w:val="44"/>
          <w:szCs w:val="44"/>
          <w:shd w:val="clear" w:fill="FFFFFF"/>
        </w:rPr>
        <w:t>沙湾市住建局2021年政府信息公开工作年度报告</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一、总体情况</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2021年，沙湾市住建局高度重视信息公开工作，紧紧围绕政府信息公开工作要点，结合住房和城乡建设工作实际，把政府信息公开工作作为服务基层群众、推进中心工作、建设服务型政府的重要手段。</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(一) 明确职责分工，加强组织领导。沙湾市住建局将政府信息公开工作作为一项重大政治任务，纳入重要议事日程，做到局主要领导亲自抓，分管领导具体抓，其他领导协助抓，明确各科室和下属事业单位主要负责人为政务公开工作的第一责任人，结合职能职责和工作实际，制定信息任务工作方案，细化责任分工，把政府信息公开工作和业务工作一同部署、一同检查、一同落实，致力把各项任务和措施落到实处。</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二）严格政务公开监督保障。结合人员变动，我局及时调整完善政务公开工作领导小组人员，进一步明确了局主要领导任组长，负总责，亲自抓；分管领导为副组长，靠上抓；局机关科室、下属事业单位负责人为成员，协同抓；领导小组下设办公室，负责具体实施，形成政务公开齐抓共管工作合力，严格履行政务公开责任制，进一步分解、细化、量化政务公开的总体任务，明确具体落实到部门和人员，同时纳入全局年度重点工作任务与系统综合考核，深入推进政务公开规范化、常态化。</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三）严格保密审查，保障信息安全。严格明确相关科室、人员在信息公开各环节的保密审查责任，公开的信息必须经科室负责人、办公室负责人、分管领导及主要领导依次进行保密审查后，方可由局办公室统一对外发布信息，切实做到了涉密不上网，上网不涉密，谁上网谁负责，谁审批谁负责，进一步保障了信息公开的安全性。</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二、主动公开政府信息情况</w:t>
      </w:r>
    </w:p>
    <w:tbl>
      <w:tblPr>
        <w:tblStyle w:val="3"/>
        <w:tblW w:w="8336" w:type="dxa"/>
        <w:tblInd w:w="0" w:type="dxa"/>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2095"/>
        <w:gridCol w:w="2243"/>
        <w:gridCol w:w="2080"/>
        <w:gridCol w:w="1918"/>
      </w:tblGrid>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8336" w:type="dxa"/>
            <w:gridSpan w:val="4"/>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第二十条第（一）项</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信息内容</w:t>
            </w:r>
          </w:p>
        </w:tc>
        <w:tc>
          <w:tcPr>
            <w:tcW w:w="2243" w:type="dxa"/>
            <w:tcBorders>
              <w:top w:val="single" w:color="000000" w:sz="6" w:space="0"/>
              <w:left w:val="single" w:color="000000" w:sz="6" w:space="0"/>
              <w:bottom w:val="single" w:color="000000" w:sz="6" w:space="0"/>
              <w:right w:val="single" w:color="000000" w:sz="6" w:space="0"/>
            </w:tcBorders>
            <w:shd w:val="clear" w:color="auto" w:fill="auto"/>
            <w:noWrap/>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本年制发件数</w:t>
            </w:r>
          </w:p>
        </w:tc>
        <w:tc>
          <w:tcPr>
            <w:tcW w:w="2080"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本年废止件数</w:t>
            </w:r>
          </w:p>
        </w:tc>
        <w:tc>
          <w:tcPr>
            <w:tcW w:w="1918" w:type="dxa"/>
            <w:tcBorders>
              <w:top w:val="single" w:color="000000" w:sz="6" w:space="0"/>
              <w:left w:val="single" w:color="000000" w:sz="6" w:space="0"/>
              <w:bottom w:val="single" w:color="000000" w:sz="6" w:space="0"/>
              <w:right w:val="single" w:color="000000" w:sz="6" w:space="0"/>
            </w:tcBorders>
            <w:shd w:val="clear" w:color="auto" w:fill="auto"/>
            <w:noWrap/>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现行有效件数</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规章</w:t>
            </w:r>
          </w:p>
        </w:tc>
        <w:tc>
          <w:tcPr>
            <w:tcW w:w="2243"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208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1918"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规范性文件</w:t>
            </w:r>
          </w:p>
        </w:tc>
        <w:tc>
          <w:tcPr>
            <w:tcW w:w="2243"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208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1918"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8336" w:type="dxa"/>
            <w:gridSpan w:val="4"/>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第二十条第（五）项</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信息内容</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本年处理决定数量</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行政许可</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143</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8336" w:type="dxa"/>
            <w:gridSpan w:val="4"/>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第二十条第（六）项</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信息内容</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本年处理决定数量</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行政处罚</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行政强制</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8336" w:type="dxa"/>
            <w:gridSpan w:val="4"/>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第二十条第（八）项</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信息内容</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本年收费金额（单位：万元）</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行政事业性收费</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1509.39</w:t>
            </w:r>
          </w:p>
        </w:tc>
      </w:tr>
    </w:tbl>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三、收到和处理政府信息公开申请情况</w:t>
      </w:r>
    </w:p>
    <w:tbl>
      <w:tblPr>
        <w:tblStyle w:val="3"/>
        <w:tblW w:w="8336" w:type="dxa"/>
        <w:tblInd w:w="0" w:type="dxa"/>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655"/>
        <w:gridCol w:w="865"/>
        <w:gridCol w:w="26"/>
        <w:gridCol w:w="2959"/>
        <w:gridCol w:w="419"/>
        <w:gridCol w:w="637"/>
        <w:gridCol w:w="637"/>
        <w:gridCol w:w="637"/>
        <w:gridCol w:w="637"/>
        <w:gridCol w:w="432"/>
        <w:gridCol w:w="432"/>
      </w:tblGrid>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4505" w:type="dxa"/>
            <w:gridSpan w:val="4"/>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（本列数据的勾稽关系为：第一项加第二项之和，等于第三项加第四项之和）</w:t>
            </w:r>
          </w:p>
        </w:tc>
        <w:tc>
          <w:tcPr>
            <w:tcW w:w="3831" w:type="dxa"/>
            <w:gridSpan w:val="7"/>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申请人情况</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4505" w:type="dxa"/>
            <w:gridSpan w:val="4"/>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419"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自然人</w:t>
            </w:r>
          </w:p>
        </w:tc>
        <w:tc>
          <w:tcPr>
            <w:tcW w:w="2980" w:type="dxa"/>
            <w:gridSpan w:val="5"/>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法人或其他组织</w:t>
            </w:r>
          </w:p>
        </w:tc>
        <w:tc>
          <w:tcPr>
            <w:tcW w:w="432"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总计</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4505" w:type="dxa"/>
            <w:gridSpan w:val="4"/>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419"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商业企业</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科研机构</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社会公益组织</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法律服务机构</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其他</w:t>
            </w:r>
          </w:p>
        </w:tc>
        <w:tc>
          <w:tcPr>
            <w:tcW w:w="432"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4505" w:type="dxa"/>
            <w:gridSpan w:val="4"/>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一、本年新收政府信息公开申请数量</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4505" w:type="dxa"/>
            <w:gridSpan w:val="4"/>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二、上年结转政府信息公开申请数量</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三、本年度办理结果</w:t>
            </w:r>
          </w:p>
        </w:tc>
        <w:tc>
          <w:tcPr>
            <w:tcW w:w="385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（一）予以公开</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385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（二）部分公开（区分处理的，只计这一情形，不计其他情形）</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（三）不予公开</w:t>
            </w: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1.属于国家秘密</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2.其他法律行政法规禁止公开</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3.危及“三安全一稳定”</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4.保护第三方合法权益</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5.属于三类内部事务信息</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6.属于四类过程性信息</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7.属于行政执法案卷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8.属于行政查询事项</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（四）无法提供</w:t>
            </w: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1.本机关不掌握相关政府信息</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2.没有现成信息需要另行制作</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3.补正后申请内容仍不明确</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（五）不予处理</w:t>
            </w: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1.信访举报投诉类申请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2.重复申请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3.要求提供公开出版物</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4.无正当理由大量反复申请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5.要求行政机关确认或重新出具已获取信息</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65"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（六）其他处理</w:t>
            </w:r>
          </w:p>
        </w:tc>
        <w:tc>
          <w:tcPr>
            <w:tcW w:w="2985"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1.申请人无正当理由逾期不补正、行政机关不再处理其政府信息公开申请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6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85"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2.申请人逾期未按收费通知要求缴纳费用、行政机关不再处理其政府信息公开申请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6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85"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3.其他</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385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（七）总计</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4505" w:type="dxa"/>
            <w:gridSpan w:val="4"/>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四、结转下年度继续办理</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bl>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四、政府信息公开行政复议、行政诉讼情况</w:t>
      </w:r>
    </w:p>
    <w:tbl>
      <w:tblPr>
        <w:tblStyle w:val="3"/>
        <w:tblW w:w="8336" w:type="dxa"/>
        <w:tblInd w:w="0" w:type="dxa"/>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728"/>
        <w:gridCol w:w="728"/>
        <w:gridCol w:w="716"/>
        <w:gridCol w:w="618"/>
        <w:gridCol w:w="435"/>
        <w:gridCol w:w="618"/>
        <w:gridCol w:w="618"/>
        <w:gridCol w:w="618"/>
        <w:gridCol w:w="679"/>
        <w:gridCol w:w="423"/>
        <w:gridCol w:w="411"/>
        <w:gridCol w:w="472"/>
        <w:gridCol w:w="412"/>
        <w:gridCol w:w="424"/>
        <w:gridCol w:w="436"/>
      </w:tblGrid>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PrEx>
        <w:tc>
          <w:tcPr>
            <w:tcW w:w="3225" w:type="dxa"/>
            <w:gridSpan w:val="5"/>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行政复议</w:t>
            </w:r>
          </w:p>
        </w:tc>
        <w:tc>
          <w:tcPr>
            <w:tcW w:w="5111" w:type="dxa"/>
            <w:gridSpan w:val="10"/>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行政诉讼</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PrEx>
        <w:tc>
          <w:tcPr>
            <w:tcW w:w="728"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结果维持</w:t>
            </w:r>
          </w:p>
        </w:tc>
        <w:tc>
          <w:tcPr>
            <w:tcW w:w="728"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结果纠正</w:t>
            </w:r>
          </w:p>
        </w:tc>
        <w:tc>
          <w:tcPr>
            <w:tcW w:w="716"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其他结果</w:t>
            </w:r>
          </w:p>
        </w:tc>
        <w:tc>
          <w:tcPr>
            <w:tcW w:w="618"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尚未审结</w:t>
            </w:r>
          </w:p>
        </w:tc>
        <w:tc>
          <w:tcPr>
            <w:tcW w:w="435"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总计</w:t>
            </w:r>
          </w:p>
        </w:tc>
        <w:tc>
          <w:tcPr>
            <w:tcW w:w="2956" w:type="dxa"/>
            <w:gridSpan w:val="5"/>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未经复议直接起诉</w:t>
            </w:r>
          </w:p>
        </w:tc>
        <w:tc>
          <w:tcPr>
            <w:tcW w:w="2155" w:type="dxa"/>
            <w:gridSpan w:val="5"/>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复议后起诉</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728"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728"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716"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618"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43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结果维持</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结果纠正</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其他结果</w:t>
            </w:r>
          </w:p>
        </w:tc>
        <w:tc>
          <w:tcPr>
            <w:tcW w:w="67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尚未审结</w:t>
            </w:r>
          </w:p>
        </w:tc>
        <w:tc>
          <w:tcPr>
            <w:tcW w:w="423"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总计</w:t>
            </w:r>
          </w:p>
        </w:tc>
        <w:tc>
          <w:tcPr>
            <w:tcW w:w="411"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结果维持</w:t>
            </w:r>
          </w:p>
        </w:tc>
        <w:tc>
          <w:tcPr>
            <w:tcW w:w="47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结果纠正</w:t>
            </w:r>
          </w:p>
        </w:tc>
        <w:tc>
          <w:tcPr>
            <w:tcW w:w="41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其他结果</w:t>
            </w:r>
          </w:p>
        </w:tc>
        <w:tc>
          <w:tcPr>
            <w:tcW w:w="424"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尚未审结</w:t>
            </w:r>
          </w:p>
        </w:tc>
        <w:tc>
          <w:tcPr>
            <w:tcW w:w="436"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总计</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72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72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716"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5"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7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23"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11"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7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1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24"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6"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bl>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bookmarkStart w:id="0" w:name="_GoBack"/>
      <w:r>
        <w:rPr>
          <w:rFonts w:hint="eastAsia" w:ascii="仿宋_GB2312" w:hAnsi="仿宋_GB2312" w:eastAsia="仿宋_GB2312" w:cs="仿宋_GB2312"/>
          <w:i w:val="0"/>
          <w:caps w:val="0"/>
          <w:color w:val="5A5A5A"/>
          <w:spacing w:val="0"/>
          <w:sz w:val="32"/>
          <w:szCs w:val="32"/>
          <w:shd w:val="clear" w:fill="FFFFFF"/>
        </w:rPr>
        <w:t>五、存在的主要问题及改进情况</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（一）存在的主要问题：一是主动公开的审计信息与公众需求还存在一些差距；二是公开内容需要进一步深化；三是政务公开工作的宣传和引导工作还需要进一步加强。</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二）改进情况：针对上述问题，下一步我们将重点从以下四个方面加以改进：一是进一步加强学习，认真研究学习政务公开有关文件精神，针对政务公开工作的新任务和新要求，不断提高工作的积极性和主动性。二是进一步建立健全工作机制，进一步完善政务公开工作各项规章制度。三是进一步加大宣传力度，努力营造审计政务公开的良好氛围。四是进一步加强政务公开平台建设，及时更新内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六、其他需要报告的事项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无其他需要报告的事项。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176CF"/>
    <w:rsid w:val="0F270FD2"/>
    <w:rsid w:val="1DC17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2023-09-21T02:58:00Z</dcterms:created>
  <dc:creator>Administrator</dc:creator>
  <cp:lastModifiedBy>Administrator</cp:lastModifiedBy>
  <dcterms:modified xsi:type="dcterms:W3CDTF">2023-09-21T03:18:05Z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